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B20C6C" w14:textId="77777777" w:rsidR="00932051" w:rsidRDefault="00525931" w:rsidP="000460EB">
      <w:pPr>
        <w:spacing w:line="48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The more, the better? The sustainable additive bias</w:t>
      </w:r>
    </w:p>
    <w:p w14:paraId="05B20C6D" w14:textId="77777777" w:rsidR="00932051" w:rsidRDefault="00932051">
      <w:pPr>
        <w:spacing w:line="480" w:lineRule="auto"/>
        <w:jc w:val="center"/>
        <w:rPr>
          <w:rFonts w:ascii="Times New Roman" w:eastAsia="Times New Roman" w:hAnsi="Times New Roman" w:cs="Times New Roman"/>
          <w:b/>
          <w:bCs/>
          <w:sz w:val="24"/>
          <w:szCs w:val="24"/>
        </w:rPr>
      </w:pPr>
    </w:p>
    <w:p w14:paraId="05B20C6E" w14:textId="77777777" w:rsidR="00932051" w:rsidRDefault="00525931">
      <w:pPr>
        <w:spacing w:line="48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Abstract</w:t>
      </w:r>
    </w:p>
    <w:p w14:paraId="05B20C6F" w14:textId="1FDF9995" w:rsidR="00932051" w:rsidRDefault="00525931">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demonstrate that adding eco-friendly components to offerings improves sustainability judgments, whereas reducing or removing such components</w:t>
      </w:r>
      <w:r w:rsidR="00056E5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despite potential sustainability gains</w:t>
      </w:r>
      <w:r w:rsidR="00056E5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receives little recognition. We call this asymmetry the </w:t>
      </w:r>
      <w:r>
        <w:rPr>
          <w:rFonts w:ascii="Times New Roman" w:eastAsia="Times New Roman" w:hAnsi="Times New Roman" w:cs="Times New Roman"/>
          <w:i/>
          <w:iCs/>
          <w:color w:val="000000"/>
          <w:sz w:val="24"/>
          <w:szCs w:val="24"/>
        </w:rPr>
        <w:t>sustainable additive bias</w:t>
      </w:r>
      <w:r>
        <w:rPr>
          <w:rFonts w:ascii="Times New Roman" w:eastAsia="Times New Roman" w:hAnsi="Times New Roman" w:cs="Times New Roman"/>
          <w:color w:val="000000"/>
          <w:sz w:val="24"/>
          <w:szCs w:val="24"/>
        </w:rPr>
        <w:t>. Across nine studies, including a field and a lab experiment, we demonstrate the existence of this bias and uncover its underlying mechanism</w:t>
      </w:r>
      <w:r w:rsidR="0054497D">
        <w:rPr>
          <w:rFonts w:ascii="Times New Roman" w:eastAsia="Times New Roman" w:hAnsi="Times New Roman" w:cs="Times New Roman"/>
          <w:color w:val="000000"/>
          <w:sz w:val="24"/>
          <w:szCs w:val="24"/>
        </w:rPr>
        <w:t xml:space="preserve"> and </w:t>
      </w:r>
      <w:r w:rsidR="0054497D" w:rsidRPr="0054497D">
        <w:rPr>
          <w:rFonts w:ascii="Times New Roman" w:eastAsia="Times New Roman" w:hAnsi="Times New Roman" w:cs="Times New Roman"/>
          <w:color w:val="000000"/>
          <w:sz w:val="24"/>
          <w:szCs w:val="24"/>
        </w:rPr>
        <w:t>boundary conditions</w:t>
      </w:r>
      <w:r>
        <w:rPr>
          <w:rFonts w:ascii="Times New Roman" w:eastAsia="Times New Roman" w:hAnsi="Times New Roman" w:cs="Times New Roman"/>
          <w:color w:val="000000"/>
          <w:sz w:val="24"/>
          <w:szCs w:val="24"/>
        </w:rPr>
        <w:t xml:space="preserve">. </w:t>
      </w:r>
      <w:r w:rsidR="00B17B91">
        <w:rPr>
          <w:rFonts w:ascii="Times New Roman" w:eastAsia="Times New Roman" w:hAnsi="Times New Roman" w:cs="Times New Roman"/>
          <w:color w:val="000000"/>
          <w:sz w:val="24"/>
          <w:szCs w:val="24"/>
        </w:rPr>
        <w:t>We</w:t>
      </w:r>
      <w:r>
        <w:rPr>
          <w:rFonts w:ascii="Times New Roman" w:eastAsia="Times New Roman" w:hAnsi="Times New Roman" w:cs="Times New Roman"/>
          <w:color w:val="000000"/>
          <w:sz w:val="24"/>
          <w:szCs w:val="24"/>
        </w:rPr>
        <w:t xml:space="preserve"> show that companies are judged more sustainable when they add, rather than subtract, eco-components. </w:t>
      </w:r>
      <w:r w:rsidR="00852B8C" w:rsidRPr="00852B8C">
        <w:rPr>
          <w:rFonts w:ascii="Times New Roman" w:eastAsia="Times New Roman" w:hAnsi="Times New Roman" w:cs="Times New Roman"/>
          <w:color w:val="000000"/>
          <w:sz w:val="24"/>
          <w:szCs w:val="24"/>
        </w:rPr>
        <w:t>This asymmetry is specific to eco-friendly components: consumers recognize the sustainability benefits of removing traditional, less environmentally friendly components.</w:t>
      </w:r>
      <w:r w:rsidR="00541AE7">
        <w:rPr>
          <w:rFonts w:ascii="Times New Roman" w:eastAsia="Times New Roman" w:hAnsi="Times New Roman" w:cs="Times New Roman"/>
          <w:color w:val="000000"/>
          <w:sz w:val="24"/>
          <w:szCs w:val="24"/>
        </w:rPr>
        <w:t xml:space="preserve"> </w:t>
      </w:r>
      <w:r w:rsidR="00623CAF" w:rsidRPr="00623CAF">
        <w:rPr>
          <w:rFonts w:ascii="Times New Roman" w:eastAsia="Times New Roman" w:hAnsi="Times New Roman" w:cs="Times New Roman"/>
          <w:color w:val="000000"/>
          <w:sz w:val="24"/>
          <w:szCs w:val="24"/>
        </w:rPr>
        <w:t>The bias arises because additive changes signal greater environmental effort on the part of the company</w:t>
      </w:r>
      <w:r w:rsidR="00914DC7">
        <w:rPr>
          <w:rFonts w:ascii="Times New Roman" w:eastAsia="Times New Roman" w:hAnsi="Times New Roman" w:cs="Times New Roman"/>
          <w:color w:val="000000"/>
          <w:sz w:val="24"/>
          <w:szCs w:val="24"/>
        </w:rPr>
        <w:t xml:space="preserve"> and is attenuated by </w:t>
      </w:r>
      <w:r>
        <w:rPr>
          <w:rFonts w:ascii="Times New Roman" w:eastAsia="Times New Roman" w:hAnsi="Times New Roman" w:cs="Times New Roman"/>
          <w:color w:val="000000"/>
          <w:sz w:val="24"/>
          <w:szCs w:val="24"/>
        </w:rPr>
        <w:t>prototypicality</w:t>
      </w:r>
      <w:r w:rsidR="00056E57">
        <w:rPr>
          <w:rFonts w:ascii="Times New Roman" w:eastAsia="Times New Roman" w:hAnsi="Times New Roman" w:cs="Times New Roman"/>
          <w:color w:val="000000"/>
          <w:sz w:val="24"/>
          <w:szCs w:val="24"/>
        </w:rPr>
        <w:t>—</w:t>
      </w:r>
      <w:r w:rsidR="00BB18A8">
        <w:rPr>
          <w:rFonts w:ascii="Times New Roman" w:eastAsia="Times New Roman" w:hAnsi="Times New Roman" w:cs="Times New Roman"/>
          <w:color w:val="000000"/>
          <w:sz w:val="24"/>
          <w:szCs w:val="24"/>
        </w:rPr>
        <w:t>that is,</w:t>
      </w:r>
      <w:r>
        <w:rPr>
          <w:rFonts w:ascii="Times New Roman" w:eastAsia="Times New Roman" w:hAnsi="Times New Roman" w:cs="Times New Roman"/>
          <w:color w:val="000000"/>
          <w:sz w:val="24"/>
          <w:szCs w:val="24"/>
        </w:rPr>
        <w:t xml:space="preserve"> </w:t>
      </w:r>
      <w:r w:rsidR="00F96BC5">
        <w:rPr>
          <w:rFonts w:ascii="Times New Roman" w:eastAsia="Times New Roman" w:hAnsi="Times New Roman" w:cs="Times New Roman"/>
          <w:color w:val="000000"/>
          <w:sz w:val="24"/>
          <w:szCs w:val="24"/>
        </w:rPr>
        <w:t>the extent to which</w:t>
      </w:r>
      <w:r>
        <w:rPr>
          <w:rFonts w:ascii="Times New Roman" w:eastAsia="Times New Roman" w:hAnsi="Times New Roman" w:cs="Times New Roman"/>
          <w:color w:val="000000"/>
          <w:sz w:val="24"/>
          <w:szCs w:val="24"/>
        </w:rPr>
        <w:t xml:space="preserve"> a component </w:t>
      </w:r>
      <w:r w:rsidR="00F96BC5">
        <w:rPr>
          <w:rFonts w:ascii="Times New Roman" w:eastAsia="Times New Roman" w:hAnsi="Times New Roman" w:cs="Times New Roman"/>
          <w:color w:val="000000"/>
          <w:sz w:val="24"/>
          <w:szCs w:val="24"/>
        </w:rPr>
        <w:t>represents</w:t>
      </w:r>
      <w:r>
        <w:rPr>
          <w:rFonts w:ascii="Times New Roman" w:eastAsia="Times New Roman" w:hAnsi="Times New Roman" w:cs="Times New Roman"/>
          <w:color w:val="000000"/>
          <w:sz w:val="24"/>
          <w:szCs w:val="24"/>
        </w:rPr>
        <w:t xml:space="preserve"> a </w:t>
      </w:r>
      <w:r>
        <w:rPr>
          <w:rFonts w:ascii="Times New Roman" w:eastAsia="Times New Roman" w:hAnsi="Times New Roman" w:cs="Times New Roman"/>
          <w:sz w:val="24"/>
          <w:szCs w:val="24"/>
        </w:rPr>
        <w:t>typical example of sustainability</w:t>
      </w:r>
      <w:r>
        <w:rPr>
          <w:rFonts w:ascii="Times New Roman" w:eastAsia="Times New Roman" w:hAnsi="Times New Roman" w:cs="Times New Roman"/>
          <w:color w:val="000000"/>
          <w:sz w:val="24"/>
          <w:szCs w:val="24"/>
        </w:rPr>
        <w:t xml:space="preserve">. Overall, our findings highlight how environmental cues </w:t>
      </w:r>
      <w:r w:rsidR="008261CF">
        <w:rPr>
          <w:rFonts w:ascii="Times New Roman" w:eastAsia="Times New Roman" w:hAnsi="Times New Roman" w:cs="Times New Roman"/>
          <w:color w:val="000000"/>
          <w:sz w:val="24"/>
          <w:szCs w:val="24"/>
        </w:rPr>
        <w:t xml:space="preserve">can </w:t>
      </w:r>
      <w:r w:rsidR="00A22879" w:rsidRPr="00A22879">
        <w:rPr>
          <w:rFonts w:ascii="Times New Roman" w:eastAsia="Times New Roman" w:hAnsi="Times New Roman" w:cs="Times New Roman"/>
          <w:color w:val="000000"/>
          <w:sz w:val="24"/>
          <w:szCs w:val="24"/>
        </w:rPr>
        <w:t>distort sustainability judgments and favor additive changes that may be counterproductive to genuine sustainability</w:t>
      </w:r>
      <w:r w:rsidR="00F04BC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F04BCD">
        <w:rPr>
          <w:rFonts w:ascii="Times New Roman" w:eastAsia="Times New Roman" w:hAnsi="Times New Roman" w:cs="Times New Roman"/>
          <w:color w:val="000000"/>
          <w:sz w:val="24"/>
          <w:szCs w:val="24"/>
        </w:rPr>
        <w:t>W</w:t>
      </w:r>
      <w:r>
        <w:rPr>
          <w:rFonts w:ascii="Times New Roman" w:eastAsia="Times New Roman" w:hAnsi="Times New Roman" w:cs="Times New Roman"/>
          <w:color w:val="000000"/>
          <w:sz w:val="24"/>
          <w:szCs w:val="24"/>
        </w:rPr>
        <w:t xml:space="preserve">e describe the implications of this bias and actions to reduce it. </w:t>
      </w:r>
      <w:r>
        <w:rPr>
          <w:rFonts w:ascii="Times New Roman" w:eastAsia="Times New Roman" w:hAnsi="Times New Roman" w:cs="Times New Roman"/>
          <w:sz w:val="24"/>
          <w:szCs w:val="24"/>
        </w:rPr>
        <w:t xml:space="preserve"> </w:t>
      </w:r>
    </w:p>
    <w:p w14:paraId="05B20C70" w14:textId="77777777" w:rsidR="00932051" w:rsidRDefault="00932051">
      <w:pPr>
        <w:spacing w:line="480" w:lineRule="auto"/>
        <w:jc w:val="both"/>
        <w:rPr>
          <w:rFonts w:ascii="Times New Roman" w:eastAsia="Times New Roman" w:hAnsi="Times New Roman" w:cs="Times New Roman"/>
          <w:color w:val="000000"/>
          <w:sz w:val="24"/>
          <w:szCs w:val="24"/>
        </w:rPr>
      </w:pPr>
    </w:p>
    <w:p w14:paraId="05B20C71" w14:textId="63DFB5F8"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Keywords</w:t>
      </w:r>
      <w:r>
        <w:rPr>
          <w:rFonts w:ascii="Times New Roman" w:eastAsia="Times New Roman" w:hAnsi="Times New Roman" w:cs="Times New Roman"/>
          <w:sz w:val="24"/>
          <w:szCs w:val="24"/>
        </w:rPr>
        <w:t xml:space="preserve">: </w:t>
      </w:r>
      <w:r w:rsidR="00056E5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co-friendly cue, </w:t>
      </w:r>
      <w:r w:rsidR="00056E5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mission neglect, </w:t>
      </w:r>
      <w:r w:rsidR="00056E5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ffort heuristic, </w:t>
      </w:r>
      <w:r w:rsidR="00056E5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ustainable additive bias, </w:t>
      </w:r>
      <w:r w:rsidR="00056E5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ustainability judgment, </w:t>
      </w:r>
      <w:r w:rsidR="00056E57">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aste, </w:t>
      </w:r>
      <w:r w:rsidR="00056E57">
        <w:rPr>
          <w:rFonts w:ascii="Times New Roman" w:eastAsia="Times New Roman" w:hAnsi="Times New Roman" w:cs="Times New Roman"/>
          <w:sz w:val="24"/>
          <w:szCs w:val="24"/>
        </w:rPr>
        <w:t>P</w:t>
      </w:r>
      <w:r>
        <w:rPr>
          <w:rFonts w:ascii="Times New Roman" w:eastAsia="Times New Roman" w:hAnsi="Times New Roman" w:cs="Times New Roman"/>
          <w:sz w:val="24"/>
          <w:szCs w:val="24"/>
        </w:rPr>
        <w:t>rototypicality</w:t>
      </w:r>
    </w:p>
    <w:p w14:paraId="05B20C72" w14:textId="77777777" w:rsidR="00932051" w:rsidRDefault="00525931">
      <w:pPr>
        <w:spacing w:after="0" w:line="480" w:lineRule="auto"/>
        <w:rPr>
          <w:rFonts w:ascii="Times New Roman" w:eastAsia="Times New Roman" w:hAnsi="Times New Roman" w:cs="Times New Roman"/>
          <w:sz w:val="24"/>
          <w:szCs w:val="24"/>
        </w:rPr>
      </w:pPr>
      <w:r>
        <w:br w:type="page"/>
      </w:r>
    </w:p>
    <w:p w14:paraId="05B20C73" w14:textId="77777777" w:rsidR="00932051" w:rsidRDefault="00525931">
      <w:pPr>
        <w:spacing w:line="48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Introduction </w:t>
      </w:r>
    </w:p>
    <w:p w14:paraId="05B20C74"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research question for this paper emerged when the first author returned from an international conference, unable to fit into her suitcase the many tokens of sustainability she had accumulated: reusable bottles from the conference and the hotel room, a recycled-paper notebook in a stylish tote bag, an eco-friendly conference program, a welcome booklet in recycled cardboard, and the bamboo toothbrushes her husband had refused to leave behind. Needless to say, like their countless predecessors, these virtuous objects were destined to spend the rest of their existence at the back of a drawer. </w:t>
      </w:r>
    </w:p>
    <w:p w14:paraId="05B20C75"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Instead of encouraging moderation, sustainability seems to have been regularly interpreted as an invitation to consume more. Cupboards become filled with a multitude of reusable bottles, tote bags, bamboo cutlery, and a plethora of other eco-friendly products, all neatly lined up and going nowhere. What is the reason for that? What could explain this tendency to aggregate, when reason and sustainability logic should encourage less accumulation?</w:t>
      </w:r>
    </w:p>
    <w:p w14:paraId="05B20C76"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has consequences because while a growing number of companies are eco-innovating their offerings (Velasco et al. 2024) and official eco-labels are proliferating, these developments have not translated into real ecological gains. In 2025, the EU Ecolabel had certified more than 109,000 products and services and licensed over 3,380 companies, both record highs (European Commission 2025). Yet over the same period, energy-related CO₂ emissions reached a record 36.8 gigatons (IEA 2025), global consumption of natural resources has more than tripled since 1970 and is expected to grow by a further 60% by 2060 (</w:t>
      </w:r>
      <w:proofErr w:type="spellStart"/>
      <w:r>
        <w:rPr>
          <w:rFonts w:ascii="Times New Roman" w:eastAsia="Times New Roman" w:hAnsi="Times New Roman" w:cs="Times New Roman"/>
          <w:sz w:val="24"/>
          <w:szCs w:val="24"/>
        </w:rPr>
        <w:t>Bruyninckx</w:t>
      </w:r>
      <w:proofErr w:type="spellEnd"/>
      <w:r>
        <w:rPr>
          <w:rFonts w:ascii="Times New Roman" w:eastAsia="Times New Roman" w:hAnsi="Times New Roman" w:cs="Times New Roman"/>
          <w:sz w:val="24"/>
          <w:szCs w:val="24"/>
        </w:rPr>
        <w:t xml:space="preserve"> et al. 2024), and in 2025 Earth Overshoot Day fell six days earlier than in 2024 (Global Footprint Network 2025). We are, in short, increasing rather than decreasing our overuse of resources. Understanding the factors driving these outcomes is therefore essential to achieving the United Nations Sustainable </w:t>
      </w:r>
      <w:r>
        <w:rPr>
          <w:rFonts w:ascii="Times New Roman" w:eastAsia="Times New Roman" w:hAnsi="Times New Roman" w:cs="Times New Roman"/>
          <w:sz w:val="24"/>
          <w:szCs w:val="24"/>
        </w:rPr>
        <w:lastRenderedPageBreak/>
        <w:t>Development Goals on sustainable consumption and production (SDG 12) and climate action (SDG 13).</w:t>
      </w:r>
    </w:p>
    <w:p w14:paraId="05B20C77" w14:textId="77777777" w:rsidR="00932051" w:rsidRPr="00E751B3"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paper, we argue that this paradoxical situation may be explained by a perception bias that we refer to as the </w:t>
      </w:r>
      <w:r>
        <w:rPr>
          <w:rFonts w:ascii="Times New Roman" w:eastAsia="Times New Roman" w:hAnsi="Times New Roman" w:cs="Times New Roman"/>
          <w:i/>
          <w:iCs/>
          <w:sz w:val="24"/>
          <w:szCs w:val="24"/>
        </w:rPr>
        <w:t>sustainable additive bias</w:t>
      </w:r>
      <w:r>
        <w:rPr>
          <w:rFonts w:ascii="Times New Roman" w:eastAsia="Times New Roman" w:hAnsi="Times New Roman" w:cs="Times New Roman"/>
          <w:sz w:val="24"/>
          <w:szCs w:val="24"/>
        </w:rPr>
        <w:t xml:space="preserve">, which encourages companies, in their pursuit of sustainability, to develop offerings that increase consumption rather than reduce it. We define the sustainable additive bias as </w:t>
      </w:r>
      <w:r>
        <w:rPr>
          <w:rFonts w:ascii="Times New Roman" w:eastAsia="Times New Roman" w:hAnsi="Times New Roman" w:cs="Times New Roman"/>
          <w:i/>
          <w:iCs/>
          <w:sz w:val="24"/>
          <w:szCs w:val="24"/>
        </w:rPr>
        <w:t xml:space="preserve">the cognitive tendency to perceive additive actions that are framed as environmentally friendly more favorably than subtractive ones, such as reducing resource use or removing unnecessary components. </w:t>
      </w:r>
      <w:r w:rsidRPr="00E751B3">
        <w:rPr>
          <w:rFonts w:ascii="Times New Roman" w:eastAsia="Times New Roman" w:hAnsi="Times New Roman" w:cs="Times New Roman"/>
          <w:sz w:val="24"/>
          <w:szCs w:val="24"/>
        </w:rPr>
        <w:t xml:space="preserve">Additive actions involve introducing new components to an offering (e.g., new materials, features, or sustainability-labeled elements), whereas subtractive actions involve removing or reducing components from it. For instance, a coffee chain may introduce bamboo cutlery (an additive action) or reduce paper packaging (a subtractive action), and we expect consumers to value the former more highly than the latter, even though the latter generates greater environmental benefits. Additive and subtractive actions can also be understood relative to industry norms: hotels that visibly include eco-friendly toiletries may be perceived as more sustainable, whereas those that remove items, even when doing so reduces environmental impact, may be perceived as doing less for the environment. </w:t>
      </w:r>
    </w:p>
    <w:p w14:paraId="05B20C78"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sustainable additive bias finds a psychological explanation in research that shows that,</w:t>
      </w:r>
      <w:r>
        <w:t xml:space="preserve"> </w:t>
      </w:r>
      <w:r>
        <w:rPr>
          <w:rFonts w:ascii="Times New Roman" w:eastAsia="Times New Roman" w:hAnsi="Times New Roman" w:cs="Times New Roman"/>
          <w:sz w:val="24"/>
          <w:szCs w:val="24"/>
        </w:rPr>
        <w:t>when forming their judgments and evaluations, people tend to focus on what is visible and present, rather than on what is absent. The absence of a product is harder to detect, and therefore harder for an individual to value, a phenomenon commonly referred to as omission neglect (</w:t>
      </w:r>
      <w:proofErr w:type="spellStart"/>
      <w:r>
        <w:rPr>
          <w:rFonts w:ascii="Times New Roman" w:eastAsia="Times New Roman" w:hAnsi="Times New Roman" w:cs="Times New Roman"/>
          <w:sz w:val="24"/>
          <w:szCs w:val="24"/>
        </w:rPr>
        <w:t>Kardes</w:t>
      </w:r>
      <w:proofErr w:type="spellEnd"/>
      <w:r>
        <w:rPr>
          <w:rFonts w:ascii="Times New Roman" w:eastAsia="Times New Roman" w:hAnsi="Times New Roman" w:cs="Times New Roman"/>
          <w:sz w:val="24"/>
          <w:szCs w:val="24"/>
        </w:rPr>
        <w:t xml:space="preserve"> et al. 2022). This asymmetry also translates into behavior: studies across management, construction, and product design show that people prefer to add components rather than remove them when seeking to optimize an outcome (Adams et al. 2021).</w:t>
      </w:r>
    </w:p>
    <w:p w14:paraId="05B20C79"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Applied to sustainable consumption, this means that, when judging an offering sustainability, consumers will focus predominantly on the components they can see. Building on this visibility effect, we propose that consumers apply a simple heuristic, whereby the presence of multiple observable eco-friendly components increases perceived sustainability. In this quick form of mental accounting, each additional visible sustainable component increases the perceived sustainability as a whole, while each subtraction decreases it, even when the removed component is unnecessary or resource intensive. This may explain why practices such as towel reuse or the elimination of single-use toiletries go underappreciated: they remove rather than add visible signs of sustainability (Wallach and Popovich 2023). The mechanism reverses for less sustainable products: adding what we refer to as “traditional” components makes resource consumption more visible, thereby reducing the perceived sustainability of the overall offering. </w:t>
      </w:r>
    </w:p>
    <w:p w14:paraId="05B20C7A"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examine this bias, we conducted nine studies (seven online, one laboratory, one field) across service settings such as hospitality and events and across product markets. We document how consumers overvalue eco-friendly additions and undervalue eco-friendly subtractions, even though for traditional cues they recognize that addition harms the environment and subtraction is the more responsible choice. We propose that this bias arises because consumers treat eco-friendly additions as diagnostic signals of a company’s sustainability commitment, inferring that the company is investing greater effort in safeguarding the environment. We also show that, in contrast, adding traditional components, which do not convey environmental friendliness, highlights a company's use of additional resources and thereby reduces its perceived environmental effort towards sustainability.</w:t>
      </w:r>
    </w:p>
    <w:p w14:paraId="05B20C7B"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we demonstrate that prototypicality can mitigate the sustainable additive bias effect (Elmor et al. 2024). In particular, we show that when companies reduce the number of eco-friendly</w:t>
      </w:r>
      <w:r>
        <w:rPr>
          <w:rFonts w:ascii="Times New Roman" w:eastAsia="Times New Roman" w:hAnsi="Times New Roman" w:cs="Times New Roman"/>
          <w:color w:val="000000"/>
          <w:sz w:val="24"/>
          <w:szCs w:val="24"/>
        </w:rPr>
        <w:t xml:space="preserve"> components in an offering</w:t>
      </w:r>
      <w:r>
        <w:rPr>
          <w:rFonts w:ascii="Times New Roman" w:eastAsia="Times New Roman" w:hAnsi="Times New Roman" w:cs="Times New Roman"/>
          <w:sz w:val="24"/>
          <w:szCs w:val="24"/>
        </w:rPr>
        <w:t xml:space="preserve">, they can enhance consumers' perceptions of the offering's sustainability by including items that are high in sustainability prototypicality (e.g., a refillable </w:t>
      </w:r>
      <w:r>
        <w:rPr>
          <w:rFonts w:ascii="Times New Roman" w:eastAsia="Times New Roman" w:hAnsi="Times New Roman" w:cs="Times New Roman"/>
          <w:sz w:val="24"/>
          <w:szCs w:val="24"/>
        </w:rPr>
        <w:lastRenderedPageBreak/>
        <w:t xml:space="preserve">bottle) rather than those that might have similar sustainability but lower prototypicality (e.g., biodegradable glitter). </w:t>
      </w:r>
    </w:p>
    <w:p w14:paraId="05B20C7C"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contributes to the literature on cognitive biases in sustainable marketing (Winterich et al. 2024) by identifying a new bias related to eco-friendly cues and documenting its effect on sustainability judgments and behaviors. While previous research has identified signals that help companies strengthen their ecological image and are genuinely sustainable, such as eco-labels (Stillman et al. 2023), recent studies have highlighted cues that increase perceived sustainability but do not necessarily reflect increases in actual sustainability, such as color saturation (</w:t>
      </w:r>
      <w:proofErr w:type="spellStart"/>
      <w:r>
        <w:rPr>
          <w:rFonts w:ascii="Times New Roman" w:eastAsia="Times New Roman" w:hAnsi="Times New Roman" w:cs="Times New Roman"/>
          <w:sz w:val="24"/>
          <w:szCs w:val="24"/>
        </w:rPr>
        <w:t>Pichierri</w:t>
      </w:r>
      <w:proofErr w:type="spellEnd"/>
      <w:r>
        <w:rPr>
          <w:rFonts w:ascii="Times New Roman" w:eastAsia="Times New Roman" w:hAnsi="Times New Roman" w:cs="Times New Roman"/>
          <w:sz w:val="24"/>
          <w:szCs w:val="24"/>
        </w:rPr>
        <w:t xml:space="preserve"> and Pino 2023) or packaging features (Sokolova et al. 2023). Building on this stream, we identify a novel and consequential cue: variation in the number of components included in an offering, that is, the addition or removal of elements.</w:t>
      </w:r>
    </w:p>
    <w:p w14:paraId="05B20C7D"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advances the literature in several ways. First, we document a systematic asymmetry in how consumers evaluate sustainability initiatives: offerings are judged more sustainable when eco-friendly components are added rather than removed, even when subtraction objectively reduces resource use or waste, whereas adding traditional components has a more negative effect than removing them. We thereby extend prior work on omission neglect (e.g., </w:t>
      </w:r>
      <w:proofErr w:type="spellStart"/>
      <w:r>
        <w:rPr>
          <w:rFonts w:ascii="Times New Roman" w:eastAsia="Times New Roman" w:hAnsi="Times New Roman" w:cs="Times New Roman"/>
          <w:sz w:val="24"/>
          <w:szCs w:val="24"/>
        </w:rPr>
        <w:t>Kardes</w:t>
      </w:r>
      <w:proofErr w:type="spellEnd"/>
      <w:r>
        <w:rPr>
          <w:rFonts w:ascii="Times New Roman" w:eastAsia="Times New Roman" w:hAnsi="Times New Roman" w:cs="Times New Roman"/>
          <w:sz w:val="24"/>
          <w:szCs w:val="24"/>
        </w:rPr>
        <w:t xml:space="preserve"> et al. 2022) to a sustainability context, where environmentally beneficial reductions remain perceptually undervalued because they remove rather than introduce visible cues.</w:t>
      </w:r>
    </w:p>
    <w:p w14:paraId="05B20C7E"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 we identify perceived environmental effort as the central mechanism underlying these judgments: additions signal greater effort and commitment, whereas environmentally beneficial subtractions are less likely to be read as effortful, so consumers prioritize inferred effort over objective impact (Jenkins and Sainsbury 1969; Hearst 1984; Adams et al. 2021). </w:t>
      </w:r>
    </w:p>
    <w:p w14:paraId="05B20C7F"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we clarify the role of visibility: because environmental impact is hard to assess directly, consumers infer effort from observable cues, so additions provide salient signals of action </w:t>
      </w:r>
      <w:r>
        <w:rPr>
          <w:rFonts w:ascii="Times New Roman" w:eastAsia="Times New Roman" w:hAnsi="Times New Roman" w:cs="Times New Roman"/>
          <w:sz w:val="24"/>
          <w:szCs w:val="24"/>
        </w:rPr>
        <w:lastRenderedPageBreak/>
        <w:t>whereas subtractions leave fewer perceptible traces and may be read as reduced effort (Wallach and Popovich 2023).</w:t>
      </w:r>
    </w:p>
    <w:p w14:paraId="05B20C80"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bias has significant implications for companies that genuinely seek to minimize their environmental impact: those pursuing subtractive strategies risk having their efforts underappreciated relative to competitors who add visible, yet less beneficial, sustainable features. Companies must therefore find ways to communicate the value of reduction, and policymakers should invest in campaigns that highlight reduction as a virtue by showcasing cases where "doing less" yields greater environmental benefits. </w:t>
      </w:r>
    </w:p>
    <w:p w14:paraId="05B20C81" w14:textId="77777777" w:rsidR="00932051" w:rsidRDefault="00525931">
      <w:pPr>
        <w:spacing w:line="48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Cognitive biases and sustainability cues</w:t>
      </w:r>
    </w:p>
    <w:p w14:paraId="05B20C82" w14:textId="77777777" w:rsidR="00932051" w:rsidRDefault="00525931">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Cognitive biases are mental shortcuts that the brain uses to make decisions and form impressions quickly (</w:t>
      </w:r>
      <w:proofErr w:type="spellStart"/>
      <w:r>
        <w:rPr>
          <w:rFonts w:ascii="Times New Roman" w:eastAsia="Times New Roman" w:hAnsi="Times New Roman" w:cs="Times New Roman"/>
          <w:sz w:val="24"/>
          <w:szCs w:val="24"/>
        </w:rPr>
        <w:t>Gigerenzer</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Gaissmaier</w:t>
      </w:r>
      <w:proofErr w:type="spellEnd"/>
      <w:r>
        <w:rPr>
          <w:rFonts w:ascii="Times New Roman" w:eastAsia="Times New Roman" w:hAnsi="Times New Roman" w:cs="Times New Roman"/>
          <w:sz w:val="24"/>
          <w:szCs w:val="24"/>
        </w:rPr>
        <w:t xml:space="preserve"> 2011; Kahneman 2011). While these heuristics help save time and mental energy, they often lead to systematic errors in thinking, judgment, or memory (Kahneman and Tversky 1974), especially under conditions of uncertainty. Evaluating whether a product or service is environmentally friendly is fraught with uncertainty: objective assessments of ecological impact are complex and require specialized knowledge that most consumers lack (</w:t>
      </w:r>
      <w:proofErr w:type="spellStart"/>
      <w:r>
        <w:rPr>
          <w:rFonts w:ascii="Times New Roman" w:eastAsia="Times New Roman" w:hAnsi="Times New Roman" w:cs="Times New Roman"/>
          <w:sz w:val="24"/>
          <w:szCs w:val="24"/>
        </w:rPr>
        <w:t>Ischen</w:t>
      </w:r>
      <w:proofErr w:type="spellEnd"/>
      <w:r>
        <w:rPr>
          <w:rFonts w:ascii="Times New Roman" w:eastAsia="Times New Roman" w:hAnsi="Times New Roman" w:cs="Times New Roman"/>
          <w:sz w:val="24"/>
          <w:szCs w:val="24"/>
        </w:rPr>
        <w:t xml:space="preserve"> et al. 2022; White et al. 2019). To reduce cognitive strain, consumers rely on simplified signals that facilitate impression formation (</w:t>
      </w:r>
      <w:proofErr w:type="spellStart"/>
      <w:r>
        <w:rPr>
          <w:rFonts w:ascii="Times New Roman" w:eastAsia="Times New Roman" w:hAnsi="Times New Roman" w:cs="Times New Roman"/>
          <w:sz w:val="24"/>
          <w:szCs w:val="24"/>
        </w:rPr>
        <w:t>Ischen</w:t>
      </w:r>
      <w:proofErr w:type="spellEnd"/>
      <w:r>
        <w:rPr>
          <w:rFonts w:ascii="Times New Roman" w:eastAsia="Times New Roman" w:hAnsi="Times New Roman" w:cs="Times New Roman"/>
          <w:sz w:val="24"/>
          <w:szCs w:val="24"/>
        </w:rPr>
        <w:t xml:space="preserve"> et al. 2022; Sokolova et al. 2023; White et al. 2019), drawing on perceptual cues that guide their sustainability judgments (as summarized in Table 1).</w:t>
      </w:r>
      <w:r>
        <w:rPr>
          <w:rFonts w:ascii="Times New Roman" w:eastAsia="Times New Roman" w:hAnsi="Times New Roman" w:cs="Times New Roman"/>
          <w:color w:val="000000"/>
          <w:sz w:val="24"/>
          <w:szCs w:val="24"/>
        </w:rPr>
        <w:t xml:space="preserve"> These cues can be broadly categorized as explicit or implicit, depending on how directly they convey information about sustainability.</w:t>
      </w:r>
    </w:p>
    <w:p w14:paraId="05B20C83" w14:textId="77777777" w:rsidR="00932051" w:rsidRDefault="00525931">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Explicit cues are overt signals that intentionally communicate environmental attributes (Van </w:t>
      </w:r>
      <w:proofErr w:type="spellStart"/>
      <w:r>
        <w:rPr>
          <w:rFonts w:ascii="Times New Roman" w:eastAsia="Times New Roman" w:hAnsi="Times New Roman" w:cs="Times New Roman"/>
          <w:color w:val="000000"/>
          <w:sz w:val="24"/>
          <w:szCs w:val="24"/>
        </w:rPr>
        <w:t>Ooijen</w:t>
      </w:r>
      <w:proofErr w:type="spellEnd"/>
      <w:r>
        <w:rPr>
          <w:rFonts w:ascii="Times New Roman" w:eastAsia="Times New Roman" w:hAnsi="Times New Roman" w:cs="Times New Roman"/>
          <w:color w:val="000000"/>
          <w:sz w:val="24"/>
          <w:szCs w:val="24"/>
        </w:rPr>
        <w:t xml:space="preserve"> et al. 2017). For instance, eco-labels, such as Fairtrade or the EU Ecolabel, signal explicitly that a product meets specific environmental standards (Atkinson and Rosenthal 2014; Chan and Wan 2023). Such cues are particularly effective when backed by third-party </w:t>
      </w:r>
      <w:r>
        <w:rPr>
          <w:rFonts w:ascii="Times New Roman" w:eastAsia="Times New Roman" w:hAnsi="Times New Roman" w:cs="Times New Roman"/>
          <w:color w:val="000000"/>
          <w:sz w:val="24"/>
          <w:szCs w:val="24"/>
        </w:rPr>
        <w:lastRenderedPageBreak/>
        <w:t>certifications, which enhance credibility and trust (</w:t>
      </w:r>
      <w:proofErr w:type="spellStart"/>
      <w:r>
        <w:rPr>
          <w:rFonts w:ascii="Times New Roman" w:eastAsia="Times New Roman" w:hAnsi="Times New Roman" w:cs="Times New Roman"/>
          <w:color w:val="000000"/>
          <w:sz w:val="24"/>
          <w:szCs w:val="24"/>
        </w:rPr>
        <w:t>Gosselt</w:t>
      </w:r>
      <w:proofErr w:type="spellEnd"/>
      <w:r>
        <w:rPr>
          <w:rFonts w:ascii="Times New Roman" w:eastAsia="Times New Roman" w:hAnsi="Times New Roman" w:cs="Times New Roman"/>
          <w:color w:val="000000"/>
          <w:sz w:val="24"/>
          <w:szCs w:val="24"/>
        </w:rPr>
        <w:t xml:space="preserve"> et al. 2019). Visual and verbal claims also function as explicit cues: icons increase salience and cognitive fluency, making sustainability information more accessible (Edinger‐Schons et al. 2018; Stillman et al. 2023), while statements such as “100% recycled” or “carbon-neutral” provide straightforward information about environmental characteristics (Magnier and </w:t>
      </w:r>
      <w:proofErr w:type="spellStart"/>
      <w:r>
        <w:rPr>
          <w:rFonts w:ascii="Times New Roman" w:eastAsia="Times New Roman" w:hAnsi="Times New Roman" w:cs="Times New Roman"/>
          <w:color w:val="000000"/>
          <w:sz w:val="24"/>
          <w:szCs w:val="24"/>
        </w:rPr>
        <w:t>Schoormans</w:t>
      </w:r>
      <w:proofErr w:type="spellEnd"/>
      <w:r>
        <w:rPr>
          <w:rFonts w:ascii="Times New Roman" w:eastAsia="Times New Roman" w:hAnsi="Times New Roman" w:cs="Times New Roman"/>
          <w:color w:val="000000"/>
          <w:sz w:val="24"/>
          <w:szCs w:val="24"/>
        </w:rPr>
        <w:t xml:space="preserve"> 2015). Product attributes can be explicit signals too: recycled, biodegradable, or upcycled materials provide tangible evidence of environmental benefits (Adıgüzel and Donato 2021), particularly when they are integral rather than peripheral to the product/service (Gershoff and Frels 2015). Such core cues can even trigger halo effects, whereby positive environmental judgments spill over into assumptions about a company’s social or ethical conduct (Waites et al. 2024). </w:t>
      </w:r>
    </w:p>
    <w:p w14:paraId="05B20C84" w14:textId="77777777" w:rsidR="00932051" w:rsidRDefault="00525931">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Implicit cues, by contrast, shape perceptions more subtly, through associative and affective pathways (Mead and Richerson 2018): they do not mention sustainability explicitly but evoke it through symbolism or sensory associations. Color is one such cue, with green and blue hues and less saturated tones evoking nature and ecological responsibility even in the absence of supporting claims (Au et al. 2024; </w:t>
      </w:r>
      <w:proofErr w:type="spellStart"/>
      <w:r>
        <w:rPr>
          <w:rFonts w:ascii="Times New Roman" w:eastAsia="Times New Roman" w:hAnsi="Times New Roman" w:cs="Times New Roman"/>
          <w:color w:val="000000"/>
          <w:sz w:val="24"/>
          <w:szCs w:val="24"/>
        </w:rPr>
        <w:t>Hallez</w:t>
      </w:r>
      <w:proofErr w:type="spellEnd"/>
      <w:r>
        <w:rPr>
          <w:rFonts w:ascii="Times New Roman" w:eastAsia="Times New Roman" w:hAnsi="Times New Roman" w:cs="Times New Roman"/>
          <w:color w:val="000000"/>
          <w:sz w:val="24"/>
          <w:szCs w:val="24"/>
        </w:rPr>
        <w:t xml:space="preserve"> et al. 2023; </w:t>
      </w:r>
      <w:proofErr w:type="spellStart"/>
      <w:r>
        <w:rPr>
          <w:rFonts w:ascii="Times New Roman" w:eastAsia="Times New Roman" w:hAnsi="Times New Roman" w:cs="Times New Roman"/>
          <w:color w:val="000000"/>
          <w:sz w:val="24"/>
          <w:szCs w:val="24"/>
        </w:rPr>
        <w:t>Pichierri</w:t>
      </w:r>
      <w:proofErr w:type="spellEnd"/>
      <w:r>
        <w:rPr>
          <w:rFonts w:ascii="Times New Roman" w:eastAsia="Times New Roman" w:hAnsi="Times New Roman" w:cs="Times New Roman"/>
          <w:color w:val="000000"/>
          <w:sz w:val="24"/>
          <w:szCs w:val="24"/>
        </w:rPr>
        <w:t xml:space="preserve"> and Pino 2023). The shape of logos (</w:t>
      </w:r>
      <w:proofErr w:type="spellStart"/>
      <w:r>
        <w:rPr>
          <w:rFonts w:ascii="Times New Roman" w:eastAsia="Times New Roman" w:hAnsi="Times New Roman" w:cs="Times New Roman"/>
          <w:color w:val="000000"/>
          <w:sz w:val="24"/>
          <w:szCs w:val="24"/>
        </w:rPr>
        <w:t>Meiting</w:t>
      </w:r>
      <w:proofErr w:type="spellEnd"/>
      <w:r>
        <w:rPr>
          <w:rFonts w:ascii="Times New Roman" w:eastAsia="Times New Roman" w:hAnsi="Times New Roman" w:cs="Times New Roman"/>
          <w:color w:val="000000"/>
          <w:sz w:val="24"/>
          <w:szCs w:val="24"/>
        </w:rPr>
        <w:t xml:space="preserve"> and Hua 2021) and the phonetic sound of brand names (Joshi and </w:t>
      </w:r>
      <w:proofErr w:type="spellStart"/>
      <w:r>
        <w:rPr>
          <w:rFonts w:ascii="Times New Roman" w:eastAsia="Times New Roman" w:hAnsi="Times New Roman" w:cs="Times New Roman"/>
          <w:color w:val="000000"/>
          <w:sz w:val="24"/>
          <w:szCs w:val="24"/>
        </w:rPr>
        <w:t>Kronrod</w:t>
      </w:r>
      <w:proofErr w:type="spellEnd"/>
      <w:r>
        <w:rPr>
          <w:rFonts w:ascii="Times New Roman" w:eastAsia="Times New Roman" w:hAnsi="Times New Roman" w:cs="Times New Roman"/>
          <w:color w:val="000000"/>
          <w:sz w:val="24"/>
          <w:szCs w:val="24"/>
        </w:rPr>
        <w:t xml:space="preserve"> 2020) likewise affect sustainability judgments: rounded logos are perceived as softer and more natural, while brand names containing silent consonants convey subtler, more understated, and thus more "eco" associations. Material cues can be equally powerful. Consumers often assume that paper or cardboard are more sustainable than plastic, despite life-cycle assessments showing that paper packaging can, in some cases, have a larger environmental footprint than plastic alternatives (Steenis et al. 2017). They even judge plastic packaging with added paper as greener than the same packaging without it (Sokolova et al. 2023). Finally, products made in developed countries are often presumed to adhere to stricter sustainability standards than those from developing countries (</w:t>
      </w:r>
      <w:proofErr w:type="spellStart"/>
      <w:r>
        <w:rPr>
          <w:rFonts w:ascii="Times New Roman" w:eastAsia="Times New Roman" w:hAnsi="Times New Roman" w:cs="Times New Roman"/>
          <w:color w:val="000000"/>
          <w:sz w:val="24"/>
          <w:szCs w:val="24"/>
        </w:rPr>
        <w:t>Davvetas</w:t>
      </w:r>
      <w:proofErr w:type="spellEnd"/>
      <w:r>
        <w:rPr>
          <w:rFonts w:ascii="Times New Roman" w:eastAsia="Times New Roman" w:hAnsi="Times New Roman" w:cs="Times New Roman"/>
          <w:color w:val="000000"/>
          <w:sz w:val="24"/>
          <w:szCs w:val="24"/>
        </w:rPr>
        <w:t xml:space="preserve"> et al. 2024; Gruber et al. 2014; Lazzarini et al. 2018).</w:t>
      </w:r>
    </w:p>
    <w:p w14:paraId="05B20C85" w14:textId="77777777" w:rsidR="00932051" w:rsidRDefault="00525931">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Overall, this literature (see Table 1) shows that sustainability judgments rely on cues that are often only loosely connected to actual product sustainability, with many implicit cues resting on surface-level features that may distort consumer understanding.</w:t>
      </w:r>
    </w:p>
    <w:p w14:paraId="611F79E8" w14:textId="77777777" w:rsidR="00523AEF" w:rsidRDefault="00523AEF">
      <w:pPr>
        <w:spacing w:line="480" w:lineRule="auto"/>
        <w:jc w:val="both"/>
        <w:rPr>
          <w:rFonts w:ascii="Times New Roman" w:eastAsia="Times New Roman" w:hAnsi="Times New Roman" w:cs="Times New Roman"/>
          <w:color w:val="000000"/>
          <w:sz w:val="24"/>
          <w:szCs w:val="24"/>
        </w:rPr>
      </w:pPr>
    </w:p>
    <w:p w14:paraId="05B20C87" w14:textId="431F806A" w:rsidR="00932051" w:rsidRPr="00523AEF" w:rsidRDefault="00523AEF" w:rsidP="001358E6">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Table 1 </w:t>
      </w:r>
      <w:r w:rsidRPr="00523AEF">
        <w:rPr>
          <w:rFonts w:ascii="Times New Roman" w:eastAsia="Times New Roman" w:hAnsi="Times New Roman" w:cs="Times New Roman"/>
          <w:color w:val="000000"/>
          <w:sz w:val="24"/>
          <w:szCs w:val="24"/>
        </w:rPr>
        <w:t>Leading literature on the influence of product cues on consumer perceptions of sustainability. Each cue is classified as explicit or implicit</w:t>
      </w:r>
    </w:p>
    <w:tbl>
      <w:tblPr>
        <w:tblStyle w:val="a"/>
        <w:tblW w:w="9600" w:type="dxa"/>
        <w:tblInd w:w="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2400"/>
        <w:gridCol w:w="2400"/>
        <w:gridCol w:w="2400"/>
        <w:gridCol w:w="2400"/>
      </w:tblGrid>
      <w:tr w:rsidR="00932051" w14:paraId="05B20C8C" w14:textId="77777777">
        <w:trPr>
          <w:trHeight w:val="285"/>
        </w:trPr>
        <w:tc>
          <w:tcPr>
            <w:tcW w:w="2400" w:type="dxa"/>
            <w:tcBorders>
              <w:top w:val="single" w:sz="12" w:space="0" w:color="000000"/>
              <w:left w:val="nil"/>
              <w:bottom w:val="single" w:sz="12" w:space="0" w:color="000000"/>
              <w:right w:val="nil"/>
            </w:tcBorders>
            <w:tcMar>
              <w:left w:w="105" w:type="dxa"/>
              <w:right w:w="105" w:type="dxa"/>
            </w:tcMar>
          </w:tcPr>
          <w:p w14:paraId="05B20C88"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t>Cue</w:t>
            </w:r>
          </w:p>
        </w:tc>
        <w:tc>
          <w:tcPr>
            <w:tcW w:w="2400" w:type="dxa"/>
            <w:tcBorders>
              <w:top w:val="single" w:sz="12" w:space="0" w:color="000000"/>
              <w:left w:val="nil"/>
              <w:bottom w:val="single" w:sz="12" w:space="0" w:color="000000"/>
              <w:right w:val="nil"/>
            </w:tcBorders>
            <w:tcMar>
              <w:left w:w="105" w:type="dxa"/>
              <w:right w:w="105" w:type="dxa"/>
            </w:tcMar>
          </w:tcPr>
          <w:p w14:paraId="05B20C89"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t>Author</w:t>
            </w:r>
          </w:p>
        </w:tc>
        <w:tc>
          <w:tcPr>
            <w:tcW w:w="2400" w:type="dxa"/>
            <w:tcBorders>
              <w:top w:val="single" w:sz="12" w:space="0" w:color="000000"/>
              <w:left w:val="nil"/>
              <w:bottom w:val="single" w:sz="12" w:space="0" w:color="000000"/>
              <w:right w:val="nil"/>
            </w:tcBorders>
            <w:tcMar>
              <w:left w:w="105" w:type="dxa"/>
              <w:right w:w="105" w:type="dxa"/>
            </w:tcMar>
          </w:tcPr>
          <w:p w14:paraId="05B20C8A"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t>Key variables</w:t>
            </w:r>
          </w:p>
        </w:tc>
        <w:tc>
          <w:tcPr>
            <w:tcW w:w="2400" w:type="dxa"/>
            <w:tcBorders>
              <w:top w:val="single" w:sz="12" w:space="0" w:color="000000"/>
              <w:left w:val="nil"/>
              <w:bottom w:val="single" w:sz="12" w:space="0" w:color="000000"/>
              <w:right w:val="nil"/>
            </w:tcBorders>
            <w:tcMar>
              <w:left w:w="105" w:type="dxa"/>
              <w:right w:w="105" w:type="dxa"/>
            </w:tcMar>
          </w:tcPr>
          <w:p w14:paraId="05B20C8B"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t>Main findings</w:t>
            </w:r>
          </w:p>
        </w:tc>
      </w:tr>
      <w:tr w:rsidR="00932051" w14:paraId="05B20C94" w14:textId="77777777">
        <w:trPr>
          <w:trHeight w:val="285"/>
        </w:trPr>
        <w:tc>
          <w:tcPr>
            <w:tcW w:w="2400" w:type="dxa"/>
            <w:tcBorders>
              <w:top w:val="single" w:sz="12" w:space="0" w:color="000000"/>
              <w:left w:val="nil"/>
              <w:bottom w:val="nil"/>
              <w:right w:val="nil"/>
            </w:tcBorders>
            <w:tcMar>
              <w:left w:w="105" w:type="dxa"/>
              <w:right w:w="105" w:type="dxa"/>
            </w:tcMar>
          </w:tcPr>
          <w:p w14:paraId="05B20C8D"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t>Eco-label (explicit)</w:t>
            </w:r>
          </w:p>
        </w:tc>
        <w:tc>
          <w:tcPr>
            <w:tcW w:w="2400" w:type="dxa"/>
            <w:tcBorders>
              <w:top w:val="single" w:sz="12" w:space="0" w:color="000000"/>
              <w:left w:val="nil"/>
              <w:bottom w:val="nil"/>
              <w:right w:val="nil"/>
            </w:tcBorders>
            <w:tcMar>
              <w:left w:w="105" w:type="dxa"/>
              <w:right w:w="105" w:type="dxa"/>
            </w:tcMar>
          </w:tcPr>
          <w:p w14:paraId="05B20C8E"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Atkinson &amp; Rosenthal 2014</w:t>
            </w:r>
          </w:p>
        </w:tc>
        <w:tc>
          <w:tcPr>
            <w:tcW w:w="2400" w:type="dxa"/>
            <w:tcBorders>
              <w:top w:val="single" w:sz="12" w:space="0" w:color="000000"/>
              <w:left w:val="nil"/>
              <w:bottom w:val="nil"/>
              <w:right w:val="nil"/>
            </w:tcBorders>
            <w:tcMar>
              <w:left w:w="105" w:type="dxa"/>
              <w:right w:w="105" w:type="dxa"/>
            </w:tcMar>
          </w:tcPr>
          <w:p w14:paraId="05B20C8F"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Eco-label</w:t>
            </w:r>
          </w:p>
          <w:p w14:paraId="05B20C90"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Label source</w:t>
            </w:r>
          </w:p>
          <w:p w14:paraId="05B20C91"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Argument specificity</w:t>
            </w:r>
          </w:p>
        </w:tc>
        <w:tc>
          <w:tcPr>
            <w:tcW w:w="2400" w:type="dxa"/>
            <w:tcBorders>
              <w:top w:val="single" w:sz="12" w:space="0" w:color="000000"/>
              <w:left w:val="nil"/>
              <w:bottom w:val="nil"/>
              <w:right w:val="nil"/>
            </w:tcBorders>
            <w:tcMar>
              <w:left w:w="105" w:type="dxa"/>
              <w:right w:w="105" w:type="dxa"/>
            </w:tcMar>
          </w:tcPr>
          <w:p w14:paraId="05B20C92"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Specific arguments drive greater eco-label trust and positive attitudes toward a product </w:t>
            </w:r>
          </w:p>
          <w:p w14:paraId="05B20C93"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w:t>
            </w:r>
          </w:p>
        </w:tc>
      </w:tr>
      <w:tr w:rsidR="00932051" w14:paraId="05B20C9B" w14:textId="77777777">
        <w:trPr>
          <w:trHeight w:val="285"/>
        </w:trPr>
        <w:tc>
          <w:tcPr>
            <w:tcW w:w="2400" w:type="dxa"/>
            <w:tcBorders>
              <w:top w:val="nil"/>
              <w:left w:val="nil"/>
              <w:bottom w:val="nil"/>
              <w:right w:val="nil"/>
            </w:tcBorders>
            <w:tcMar>
              <w:left w:w="105" w:type="dxa"/>
              <w:right w:w="105" w:type="dxa"/>
            </w:tcMar>
          </w:tcPr>
          <w:p w14:paraId="05B20C95"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w:t>
            </w:r>
          </w:p>
        </w:tc>
        <w:tc>
          <w:tcPr>
            <w:tcW w:w="2400" w:type="dxa"/>
            <w:tcBorders>
              <w:top w:val="nil"/>
              <w:left w:val="nil"/>
              <w:bottom w:val="nil"/>
              <w:right w:val="nil"/>
            </w:tcBorders>
            <w:tcMar>
              <w:left w:w="105" w:type="dxa"/>
              <w:right w:w="105" w:type="dxa"/>
            </w:tcMar>
          </w:tcPr>
          <w:p w14:paraId="05B20C96" w14:textId="77777777" w:rsidR="00932051" w:rsidRDefault="00525931">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Gosselt</w:t>
            </w:r>
            <w:proofErr w:type="spellEnd"/>
            <w:r>
              <w:rPr>
                <w:rFonts w:ascii="Times New Roman" w:eastAsia="Times New Roman" w:hAnsi="Times New Roman" w:cs="Times New Roman"/>
                <w:color w:val="000000"/>
              </w:rPr>
              <w:t xml:space="preserve"> et al. 2019</w:t>
            </w:r>
          </w:p>
        </w:tc>
        <w:tc>
          <w:tcPr>
            <w:tcW w:w="2400" w:type="dxa"/>
            <w:tcBorders>
              <w:top w:val="nil"/>
              <w:left w:val="nil"/>
              <w:bottom w:val="nil"/>
              <w:right w:val="nil"/>
            </w:tcBorders>
            <w:tcMar>
              <w:left w:w="105" w:type="dxa"/>
              <w:right w:w="105" w:type="dxa"/>
            </w:tcMar>
          </w:tcPr>
          <w:p w14:paraId="05B20C97"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Eco-label</w:t>
            </w:r>
          </w:p>
          <w:p w14:paraId="05B20C98"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Greenwashing </w:t>
            </w:r>
          </w:p>
        </w:tc>
        <w:tc>
          <w:tcPr>
            <w:tcW w:w="2400" w:type="dxa"/>
            <w:tcBorders>
              <w:top w:val="nil"/>
              <w:left w:val="nil"/>
              <w:bottom w:val="nil"/>
              <w:right w:val="nil"/>
            </w:tcBorders>
            <w:tcMar>
              <w:left w:w="105" w:type="dxa"/>
              <w:right w:w="105" w:type="dxa"/>
            </w:tcMar>
          </w:tcPr>
          <w:p w14:paraId="05B20C99"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An external CSR label has a more positive impact on consumer responses than an internal CSR label</w:t>
            </w:r>
          </w:p>
          <w:p w14:paraId="05B20C9A"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w:t>
            </w:r>
          </w:p>
        </w:tc>
      </w:tr>
      <w:tr w:rsidR="00932051" w14:paraId="05B20CA3" w14:textId="77777777">
        <w:trPr>
          <w:trHeight w:val="285"/>
        </w:trPr>
        <w:tc>
          <w:tcPr>
            <w:tcW w:w="2400" w:type="dxa"/>
            <w:tcBorders>
              <w:top w:val="nil"/>
              <w:left w:val="nil"/>
              <w:bottom w:val="nil"/>
              <w:right w:val="nil"/>
            </w:tcBorders>
            <w:tcMar>
              <w:left w:w="105" w:type="dxa"/>
              <w:right w:w="105" w:type="dxa"/>
            </w:tcMar>
          </w:tcPr>
          <w:p w14:paraId="05B20C9C"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w:t>
            </w:r>
          </w:p>
        </w:tc>
        <w:tc>
          <w:tcPr>
            <w:tcW w:w="2400" w:type="dxa"/>
            <w:tcBorders>
              <w:top w:val="nil"/>
              <w:left w:val="nil"/>
              <w:bottom w:val="nil"/>
              <w:right w:val="nil"/>
            </w:tcBorders>
            <w:tcMar>
              <w:left w:w="105" w:type="dxa"/>
              <w:right w:w="105" w:type="dxa"/>
            </w:tcMar>
          </w:tcPr>
          <w:p w14:paraId="05B20C9D"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Kumar et al. 2021</w:t>
            </w:r>
          </w:p>
        </w:tc>
        <w:tc>
          <w:tcPr>
            <w:tcW w:w="2400" w:type="dxa"/>
            <w:tcBorders>
              <w:top w:val="nil"/>
              <w:left w:val="nil"/>
              <w:bottom w:val="nil"/>
              <w:right w:val="nil"/>
            </w:tcBorders>
            <w:tcMar>
              <w:left w:w="105" w:type="dxa"/>
              <w:right w:w="105" w:type="dxa"/>
            </w:tcMar>
          </w:tcPr>
          <w:p w14:paraId="05B20C9E"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Sustainability information</w:t>
            </w:r>
          </w:p>
          <w:p w14:paraId="05B20C9F"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Information quality </w:t>
            </w:r>
          </w:p>
          <w:p w14:paraId="05B20CA0"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Eco-label credibility</w:t>
            </w:r>
          </w:p>
        </w:tc>
        <w:tc>
          <w:tcPr>
            <w:tcW w:w="2400" w:type="dxa"/>
            <w:tcBorders>
              <w:top w:val="nil"/>
              <w:left w:val="nil"/>
              <w:bottom w:val="nil"/>
              <w:right w:val="nil"/>
            </w:tcBorders>
            <w:tcMar>
              <w:left w:w="105" w:type="dxa"/>
              <w:right w:w="105" w:type="dxa"/>
            </w:tcMar>
          </w:tcPr>
          <w:p w14:paraId="05B20CA1"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Information quality has a larger effect on perceptions of corporate sustainability when highly credible eco-labels are used </w:t>
            </w:r>
          </w:p>
          <w:p w14:paraId="05B20CA2"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w:t>
            </w:r>
          </w:p>
        </w:tc>
      </w:tr>
      <w:tr w:rsidR="00932051" w14:paraId="05B20CAA" w14:textId="77777777">
        <w:trPr>
          <w:trHeight w:val="285"/>
        </w:trPr>
        <w:tc>
          <w:tcPr>
            <w:tcW w:w="2400" w:type="dxa"/>
            <w:tcBorders>
              <w:top w:val="nil"/>
              <w:left w:val="nil"/>
              <w:bottom w:val="nil"/>
              <w:right w:val="nil"/>
            </w:tcBorders>
            <w:tcMar>
              <w:left w:w="105" w:type="dxa"/>
              <w:right w:w="105" w:type="dxa"/>
            </w:tcMar>
          </w:tcPr>
          <w:p w14:paraId="05B20CA4"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t>Green attribute (explicit)</w:t>
            </w:r>
          </w:p>
        </w:tc>
        <w:tc>
          <w:tcPr>
            <w:tcW w:w="2400" w:type="dxa"/>
            <w:tcBorders>
              <w:top w:val="nil"/>
              <w:left w:val="nil"/>
              <w:bottom w:val="nil"/>
              <w:right w:val="nil"/>
            </w:tcBorders>
            <w:tcMar>
              <w:left w:w="105" w:type="dxa"/>
              <w:right w:w="105" w:type="dxa"/>
            </w:tcMar>
          </w:tcPr>
          <w:p w14:paraId="05B20CA5"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Gershoff &amp; Frels 2015</w:t>
            </w:r>
          </w:p>
        </w:tc>
        <w:tc>
          <w:tcPr>
            <w:tcW w:w="2400" w:type="dxa"/>
            <w:tcBorders>
              <w:top w:val="nil"/>
              <w:left w:val="nil"/>
              <w:bottom w:val="nil"/>
              <w:right w:val="nil"/>
            </w:tcBorders>
            <w:tcMar>
              <w:left w:w="105" w:type="dxa"/>
              <w:right w:w="105" w:type="dxa"/>
            </w:tcMar>
          </w:tcPr>
          <w:p w14:paraId="05B20CA6"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Attribute centrality</w:t>
            </w:r>
          </w:p>
          <w:p w14:paraId="05B20CA7"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Sustainability judgment</w:t>
            </w:r>
          </w:p>
        </w:tc>
        <w:tc>
          <w:tcPr>
            <w:tcW w:w="2400" w:type="dxa"/>
            <w:tcBorders>
              <w:top w:val="nil"/>
              <w:left w:val="nil"/>
              <w:bottom w:val="nil"/>
              <w:right w:val="nil"/>
            </w:tcBorders>
            <w:tcMar>
              <w:left w:w="105" w:type="dxa"/>
              <w:right w:w="105" w:type="dxa"/>
            </w:tcMar>
          </w:tcPr>
          <w:p w14:paraId="05B20CA8"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Products with similar environmental benefits will be judged more or less green according to whether the benefit stems from a central or peripheral attribute </w:t>
            </w:r>
          </w:p>
          <w:p w14:paraId="05B20CA9"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932051" w14:paraId="05B20CB2" w14:textId="77777777">
        <w:trPr>
          <w:trHeight w:val="285"/>
        </w:trPr>
        <w:tc>
          <w:tcPr>
            <w:tcW w:w="2400" w:type="dxa"/>
            <w:tcBorders>
              <w:top w:val="nil"/>
              <w:left w:val="nil"/>
              <w:bottom w:val="nil"/>
              <w:right w:val="nil"/>
            </w:tcBorders>
            <w:tcMar>
              <w:left w:w="105" w:type="dxa"/>
              <w:right w:w="105" w:type="dxa"/>
            </w:tcMar>
          </w:tcPr>
          <w:p w14:paraId="05B20CAB"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w:t>
            </w:r>
          </w:p>
        </w:tc>
        <w:tc>
          <w:tcPr>
            <w:tcW w:w="2400" w:type="dxa"/>
            <w:tcBorders>
              <w:top w:val="nil"/>
              <w:left w:val="nil"/>
              <w:bottom w:val="nil"/>
              <w:right w:val="nil"/>
            </w:tcBorders>
            <w:tcMar>
              <w:left w:w="105" w:type="dxa"/>
              <w:right w:w="105" w:type="dxa"/>
            </w:tcMar>
          </w:tcPr>
          <w:p w14:paraId="05B20CAC"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Adıgüzel &amp; Donato 2021</w:t>
            </w:r>
          </w:p>
        </w:tc>
        <w:tc>
          <w:tcPr>
            <w:tcW w:w="2400" w:type="dxa"/>
            <w:tcBorders>
              <w:top w:val="nil"/>
              <w:left w:val="nil"/>
              <w:bottom w:val="nil"/>
              <w:right w:val="nil"/>
            </w:tcBorders>
            <w:tcMar>
              <w:left w:w="105" w:type="dxa"/>
              <w:right w:w="105" w:type="dxa"/>
            </w:tcMar>
          </w:tcPr>
          <w:p w14:paraId="05B20CAD"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Upcycled products</w:t>
            </w:r>
          </w:p>
          <w:p w14:paraId="05B20CAE"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Recycled products</w:t>
            </w:r>
          </w:p>
          <w:p w14:paraId="05B20CAF"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2400" w:type="dxa"/>
            <w:tcBorders>
              <w:top w:val="nil"/>
              <w:left w:val="nil"/>
              <w:bottom w:val="nil"/>
              <w:right w:val="nil"/>
            </w:tcBorders>
            <w:tcMar>
              <w:left w:w="105" w:type="dxa"/>
              <w:right w:w="105" w:type="dxa"/>
            </w:tcMar>
          </w:tcPr>
          <w:p w14:paraId="05B20CB0"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Consumers perceive upcycled products by new luxury brands as more aligned with sustainable production when environmental concern increases</w:t>
            </w:r>
          </w:p>
          <w:p w14:paraId="05B20CB1"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932051" w14:paraId="05B20CBA" w14:textId="77777777">
        <w:trPr>
          <w:trHeight w:val="285"/>
        </w:trPr>
        <w:tc>
          <w:tcPr>
            <w:tcW w:w="2400" w:type="dxa"/>
            <w:tcBorders>
              <w:top w:val="nil"/>
              <w:left w:val="nil"/>
              <w:bottom w:val="nil"/>
              <w:right w:val="nil"/>
            </w:tcBorders>
            <w:tcMar>
              <w:left w:w="105" w:type="dxa"/>
              <w:right w:w="105" w:type="dxa"/>
            </w:tcMar>
          </w:tcPr>
          <w:p w14:paraId="05B20CB3"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w:t>
            </w:r>
          </w:p>
        </w:tc>
        <w:tc>
          <w:tcPr>
            <w:tcW w:w="2400" w:type="dxa"/>
            <w:tcBorders>
              <w:top w:val="nil"/>
              <w:left w:val="nil"/>
              <w:bottom w:val="nil"/>
              <w:right w:val="nil"/>
            </w:tcBorders>
            <w:tcMar>
              <w:left w:w="105" w:type="dxa"/>
              <w:right w:w="105" w:type="dxa"/>
            </w:tcMar>
          </w:tcPr>
          <w:p w14:paraId="05B20CB4"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Waites et al. 2024 </w:t>
            </w:r>
          </w:p>
        </w:tc>
        <w:tc>
          <w:tcPr>
            <w:tcW w:w="2400" w:type="dxa"/>
            <w:tcBorders>
              <w:top w:val="nil"/>
              <w:left w:val="nil"/>
              <w:bottom w:val="nil"/>
              <w:right w:val="nil"/>
            </w:tcBorders>
            <w:tcMar>
              <w:left w:w="105" w:type="dxa"/>
              <w:right w:w="105" w:type="dxa"/>
            </w:tcMar>
          </w:tcPr>
          <w:p w14:paraId="05B20CB5"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Environmental sustainability</w:t>
            </w:r>
          </w:p>
          <w:p w14:paraId="05B20CB6"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Social sustainability</w:t>
            </w:r>
          </w:p>
          <w:p w14:paraId="05B20CB7"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2400" w:type="dxa"/>
            <w:tcBorders>
              <w:top w:val="nil"/>
              <w:left w:val="nil"/>
              <w:bottom w:val="nil"/>
              <w:right w:val="nil"/>
            </w:tcBorders>
            <w:tcMar>
              <w:left w:w="105" w:type="dxa"/>
              <w:right w:w="105" w:type="dxa"/>
            </w:tcMar>
          </w:tcPr>
          <w:p w14:paraId="05B20CB8"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Social and environmental aspects of sustainability are closely linked, with </w:t>
            </w:r>
            <w:r>
              <w:rPr>
                <w:rFonts w:ascii="Times New Roman" w:eastAsia="Times New Roman" w:hAnsi="Times New Roman" w:cs="Times New Roman"/>
                <w:color w:val="000000"/>
              </w:rPr>
              <w:lastRenderedPageBreak/>
              <w:t xml:space="preserve">sustainability in one dimension positively influencing perceptions of sustainability in the other </w:t>
            </w:r>
          </w:p>
          <w:p w14:paraId="05B20CB9"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932051" w14:paraId="05B20CC1" w14:textId="77777777">
        <w:trPr>
          <w:trHeight w:val="285"/>
        </w:trPr>
        <w:tc>
          <w:tcPr>
            <w:tcW w:w="2400" w:type="dxa"/>
            <w:tcBorders>
              <w:top w:val="nil"/>
              <w:left w:val="nil"/>
              <w:bottom w:val="nil"/>
              <w:right w:val="nil"/>
            </w:tcBorders>
            <w:tcMar>
              <w:left w:w="105" w:type="dxa"/>
              <w:right w:w="105" w:type="dxa"/>
            </w:tcMar>
          </w:tcPr>
          <w:p w14:paraId="05B20CBB"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Product claim (explicit)</w:t>
            </w:r>
          </w:p>
        </w:tc>
        <w:tc>
          <w:tcPr>
            <w:tcW w:w="2400" w:type="dxa"/>
            <w:tcBorders>
              <w:top w:val="nil"/>
              <w:left w:val="nil"/>
              <w:bottom w:val="nil"/>
              <w:right w:val="nil"/>
            </w:tcBorders>
            <w:tcMar>
              <w:left w:w="105" w:type="dxa"/>
              <w:right w:w="105" w:type="dxa"/>
            </w:tcMar>
          </w:tcPr>
          <w:p w14:paraId="05B20CBC"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Magnier &amp; </w:t>
            </w:r>
            <w:proofErr w:type="spellStart"/>
            <w:r>
              <w:rPr>
                <w:rFonts w:ascii="Times New Roman" w:eastAsia="Times New Roman" w:hAnsi="Times New Roman" w:cs="Times New Roman"/>
                <w:color w:val="000000"/>
              </w:rPr>
              <w:t>Schoormans</w:t>
            </w:r>
            <w:proofErr w:type="spellEnd"/>
            <w:r>
              <w:rPr>
                <w:rFonts w:ascii="Times New Roman" w:eastAsia="Times New Roman" w:hAnsi="Times New Roman" w:cs="Times New Roman"/>
                <w:color w:val="000000"/>
              </w:rPr>
              <w:t xml:space="preserve"> 2015</w:t>
            </w:r>
          </w:p>
        </w:tc>
        <w:tc>
          <w:tcPr>
            <w:tcW w:w="2400" w:type="dxa"/>
            <w:tcBorders>
              <w:top w:val="nil"/>
              <w:left w:val="nil"/>
              <w:bottom w:val="nil"/>
              <w:right w:val="nil"/>
            </w:tcBorders>
            <w:tcMar>
              <w:left w:w="105" w:type="dxa"/>
              <w:right w:w="105" w:type="dxa"/>
            </w:tcMar>
          </w:tcPr>
          <w:p w14:paraId="05B20CBD"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Sustainable packaging</w:t>
            </w:r>
          </w:p>
          <w:p w14:paraId="05B20CBE"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Sustainability concern</w:t>
            </w:r>
          </w:p>
        </w:tc>
        <w:tc>
          <w:tcPr>
            <w:tcW w:w="2400" w:type="dxa"/>
            <w:tcBorders>
              <w:top w:val="nil"/>
              <w:left w:val="nil"/>
              <w:bottom w:val="nil"/>
              <w:right w:val="nil"/>
            </w:tcBorders>
            <w:tcMar>
              <w:left w:w="105" w:type="dxa"/>
              <w:right w:w="105" w:type="dxa"/>
            </w:tcMar>
          </w:tcPr>
          <w:p w14:paraId="05B20CBF"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Consumers' environmental concern influences their response to visual appearance and verbal sustainability claims of packages </w:t>
            </w:r>
          </w:p>
          <w:p w14:paraId="05B20CC0"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932051" w14:paraId="05B20CC9" w14:textId="77777777">
        <w:trPr>
          <w:trHeight w:val="285"/>
        </w:trPr>
        <w:tc>
          <w:tcPr>
            <w:tcW w:w="2400" w:type="dxa"/>
            <w:tcBorders>
              <w:top w:val="nil"/>
              <w:left w:val="nil"/>
              <w:bottom w:val="nil"/>
              <w:right w:val="nil"/>
            </w:tcBorders>
            <w:tcMar>
              <w:left w:w="105" w:type="dxa"/>
              <w:right w:w="105" w:type="dxa"/>
            </w:tcMar>
          </w:tcPr>
          <w:p w14:paraId="05B20CC2"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2400" w:type="dxa"/>
            <w:tcBorders>
              <w:top w:val="nil"/>
              <w:left w:val="nil"/>
              <w:bottom w:val="nil"/>
              <w:right w:val="nil"/>
            </w:tcBorders>
            <w:tcMar>
              <w:left w:w="105" w:type="dxa"/>
              <w:right w:w="105" w:type="dxa"/>
            </w:tcMar>
          </w:tcPr>
          <w:p w14:paraId="05B20CC3"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Edinger‐Schons et al. 2018</w:t>
            </w:r>
          </w:p>
        </w:tc>
        <w:tc>
          <w:tcPr>
            <w:tcW w:w="2400" w:type="dxa"/>
            <w:tcBorders>
              <w:top w:val="nil"/>
              <w:left w:val="nil"/>
              <w:bottom w:val="nil"/>
              <w:right w:val="nil"/>
            </w:tcBorders>
            <w:tcMar>
              <w:left w:w="105" w:type="dxa"/>
              <w:right w:w="105" w:type="dxa"/>
            </w:tcMar>
          </w:tcPr>
          <w:p w14:paraId="05B20CC4"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Sustainability appeals</w:t>
            </w:r>
          </w:p>
          <w:p w14:paraId="05B20CC5"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Attributions</w:t>
            </w:r>
          </w:p>
          <w:p w14:paraId="05B20CC6"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Purchase</w:t>
            </w:r>
          </w:p>
        </w:tc>
        <w:tc>
          <w:tcPr>
            <w:tcW w:w="2400" w:type="dxa"/>
            <w:tcBorders>
              <w:top w:val="nil"/>
              <w:left w:val="nil"/>
              <w:bottom w:val="nil"/>
              <w:right w:val="nil"/>
            </w:tcBorders>
            <w:tcMar>
              <w:left w:w="105" w:type="dxa"/>
              <w:right w:w="105" w:type="dxa"/>
            </w:tcMar>
          </w:tcPr>
          <w:p w14:paraId="05B20CC7"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Compared to using only an intrinsic appeal, using a joint (i.e., intrinsic and extrinsic) appeal makes consumers less likely to attribute a company’s sustainability efforts to genuine concern.</w:t>
            </w:r>
          </w:p>
          <w:p w14:paraId="05B20CC8"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932051" w14:paraId="05B20CD1" w14:textId="77777777">
        <w:trPr>
          <w:trHeight w:val="285"/>
        </w:trPr>
        <w:tc>
          <w:tcPr>
            <w:tcW w:w="2400" w:type="dxa"/>
            <w:tcBorders>
              <w:top w:val="nil"/>
              <w:left w:val="nil"/>
              <w:bottom w:val="nil"/>
              <w:right w:val="nil"/>
            </w:tcBorders>
            <w:tcMar>
              <w:left w:w="105" w:type="dxa"/>
              <w:right w:w="105" w:type="dxa"/>
            </w:tcMar>
          </w:tcPr>
          <w:p w14:paraId="05B20CCA"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t>Color (implicit)</w:t>
            </w:r>
          </w:p>
        </w:tc>
        <w:tc>
          <w:tcPr>
            <w:tcW w:w="2400" w:type="dxa"/>
            <w:tcBorders>
              <w:top w:val="nil"/>
              <w:left w:val="nil"/>
              <w:bottom w:val="nil"/>
              <w:right w:val="nil"/>
            </w:tcBorders>
            <w:tcMar>
              <w:left w:w="105" w:type="dxa"/>
              <w:right w:w="105" w:type="dxa"/>
            </w:tcMar>
          </w:tcPr>
          <w:p w14:paraId="05B20CCB" w14:textId="77777777" w:rsidR="00932051" w:rsidRDefault="00525931">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Pichierri</w:t>
            </w:r>
            <w:proofErr w:type="spellEnd"/>
            <w:r>
              <w:rPr>
                <w:rFonts w:ascii="Times New Roman" w:eastAsia="Times New Roman" w:hAnsi="Times New Roman" w:cs="Times New Roman"/>
                <w:color w:val="000000"/>
              </w:rPr>
              <w:t xml:space="preserve"> &amp; Pino 2023</w:t>
            </w:r>
          </w:p>
        </w:tc>
        <w:tc>
          <w:tcPr>
            <w:tcW w:w="2400" w:type="dxa"/>
            <w:tcBorders>
              <w:top w:val="nil"/>
              <w:left w:val="nil"/>
              <w:bottom w:val="nil"/>
              <w:right w:val="nil"/>
            </w:tcBorders>
            <w:tcMar>
              <w:left w:w="105" w:type="dxa"/>
              <w:right w:w="105" w:type="dxa"/>
            </w:tcMar>
          </w:tcPr>
          <w:p w14:paraId="05B20CCC"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Color saturation</w:t>
            </w:r>
          </w:p>
          <w:p w14:paraId="05B20CCD"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Product eco‐friendliness</w:t>
            </w:r>
          </w:p>
          <w:p w14:paraId="05B20CCE"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Naturalness</w:t>
            </w:r>
          </w:p>
        </w:tc>
        <w:tc>
          <w:tcPr>
            <w:tcW w:w="2400" w:type="dxa"/>
            <w:tcBorders>
              <w:top w:val="nil"/>
              <w:left w:val="nil"/>
              <w:bottom w:val="nil"/>
              <w:right w:val="nil"/>
            </w:tcBorders>
            <w:tcMar>
              <w:left w:w="105" w:type="dxa"/>
              <w:right w:w="105" w:type="dxa"/>
            </w:tcMar>
          </w:tcPr>
          <w:p w14:paraId="05B20CCF"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Consumers tend to unconsciously associate low color saturation with high product sustainability</w:t>
            </w:r>
          </w:p>
          <w:p w14:paraId="05B20CD0"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932051" w14:paraId="05B20CD9" w14:textId="77777777">
        <w:trPr>
          <w:trHeight w:val="285"/>
        </w:trPr>
        <w:tc>
          <w:tcPr>
            <w:tcW w:w="2400" w:type="dxa"/>
            <w:tcBorders>
              <w:top w:val="nil"/>
              <w:left w:val="nil"/>
              <w:bottom w:val="nil"/>
              <w:right w:val="nil"/>
            </w:tcBorders>
            <w:tcMar>
              <w:left w:w="105" w:type="dxa"/>
              <w:right w:w="105" w:type="dxa"/>
            </w:tcMar>
          </w:tcPr>
          <w:p w14:paraId="05B20CD2"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2400" w:type="dxa"/>
            <w:tcBorders>
              <w:top w:val="nil"/>
              <w:left w:val="nil"/>
              <w:bottom w:val="nil"/>
              <w:right w:val="nil"/>
            </w:tcBorders>
            <w:tcMar>
              <w:left w:w="105" w:type="dxa"/>
              <w:right w:w="105" w:type="dxa"/>
            </w:tcMar>
          </w:tcPr>
          <w:p w14:paraId="05B20CD3" w14:textId="77777777" w:rsidR="00932051" w:rsidRDefault="00525931">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Hallez</w:t>
            </w:r>
            <w:proofErr w:type="spellEnd"/>
            <w:r>
              <w:rPr>
                <w:rFonts w:ascii="Times New Roman" w:eastAsia="Times New Roman" w:hAnsi="Times New Roman" w:cs="Times New Roman"/>
                <w:color w:val="000000"/>
              </w:rPr>
              <w:t xml:space="preserve"> et al. 2023</w:t>
            </w:r>
          </w:p>
        </w:tc>
        <w:tc>
          <w:tcPr>
            <w:tcW w:w="2400" w:type="dxa"/>
            <w:tcBorders>
              <w:top w:val="nil"/>
              <w:left w:val="nil"/>
              <w:bottom w:val="nil"/>
              <w:right w:val="nil"/>
            </w:tcBorders>
            <w:tcMar>
              <w:left w:w="105" w:type="dxa"/>
              <w:right w:w="105" w:type="dxa"/>
            </w:tcMar>
          </w:tcPr>
          <w:p w14:paraId="05B20CD4"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Color hue</w:t>
            </w:r>
          </w:p>
          <w:p w14:paraId="05B20CD5"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Sustainability perception</w:t>
            </w:r>
          </w:p>
          <w:p w14:paraId="05B20CD6"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Claims</w:t>
            </w:r>
          </w:p>
        </w:tc>
        <w:tc>
          <w:tcPr>
            <w:tcW w:w="2400" w:type="dxa"/>
            <w:tcBorders>
              <w:top w:val="nil"/>
              <w:left w:val="nil"/>
              <w:bottom w:val="nil"/>
              <w:right w:val="nil"/>
            </w:tcBorders>
            <w:tcMar>
              <w:left w:w="105" w:type="dxa"/>
              <w:right w:w="105" w:type="dxa"/>
            </w:tcMar>
          </w:tcPr>
          <w:p w14:paraId="05B20CD7"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Cool colors such as green and blue cause consumers to perceive the product as more sustainable </w:t>
            </w:r>
          </w:p>
          <w:p w14:paraId="05B20CD8"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932051" w14:paraId="05B20CE3" w14:textId="77777777">
        <w:trPr>
          <w:trHeight w:val="285"/>
        </w:trPr>
        <w:tc>
          <w:tcPr>
            <w:tcW w:w="2400" w:type="dxa"/>
            <w:tcBorders>
              <w:top w:val="nil"/>
              <w:left w:val="nil"/>
              <w:bottom w:val="nil"/>
              <w:right w:val="nil"/>
            </w:tcBorders>
            <w:tcMar>
              <w:left w:w="105" w:type="dxa"/>
              <w:right w:w="105" w:type="dxa"/>
            </w:tcMar>
          </w:tcPr>
          <w:p w14:paraId="05B20CDA" w14:textId="77777777" w:rsidR="00932051" w:rsidRDefault="00932051">
            <w:pPr>
              <w:rPr>
                <w:rFonts w:ascii="Times New Roman" w:eastAsia="Times New Roman" w:hAnsi="Times New Roman" w:cs="Times New Roman"/>
                <w:color w:val="000000"/>
              </w:rPr>
            </w:pPr>
          </w:p>
        </w:tc>
        <w:tc>
          <w:tcPr>
            <w:tcW w:w="2400" w:type="dxa"/>
            <w:tcBorders>
              <w:top w:val="nil"/>
              <w:left w:val="nil"/>
              <w:bottom w:val="nil"/>
              <w:right w:val="nil"/>
            </w:tcBorders>
            <w:tcMar>
              <w:left w:w="105" w:type="dxa"/>
              <w:right w:w="105" w:type="dxa"/>
            </w:tcMar>
          </w:tcPr>
          <w:p w14:paraId="05B20CDB"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Au et al. 2024 </w:t>
            </w:r>
          </w:p>
        </w:tc>
        <w:tc>
          <w:tcPr>
            <w:tcW w:w="2400" w:type="dxa"/>
            <w:tcBorders>
              <w:top w:val="nil"/>
              <w:left w:val="nil"/>
              <w:bottom w:val="nil"/>
              <w:right w:val="nil"/>
            </w:tcBorders>
            <w:tcMar>
              <w:left w:w="105" w:type="dxa"/>
              <w:right w:w="105" w:type="dxa"/>
            </w:tcMar>
          </w:tcPr>
          <w:p w14:paraId="05B20CDC"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Color hue</w:t>
            </w:r>
          </w:p>
          <w:p w14:paraId="05B20CDD"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Color lightness</w:t>
            </w:r>
          </w:p>
          <w:p w14:paraId="05B20CDE"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Vehicle rental</w:t>
            </w:r>
          </w:p>
          <w:p w14:paraId="05B20CDF"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Environmental friendliness</w:t>
            </w:r>
          </w:p>
          <w:p w14:paraId="05B20CE0"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Mental imagery</w:t>
            </w:r>
          </w:p>
        </w:tc>
        <w:tc>
          <w:tcPr>
            <w:tcW w:w="2400" w:type="dxa"/>
            <w:tcBorders>
              <w:top w:val="nil"/>
              <w:left w:val="nil"/>
              <w:bottom w:val="nil"/>
              <w:right w:val="nil"/>
            </w:tcBorders>
            <w:tcMar>
              <w:left w:w="105" w:type="dxa"/>
              <w:right w:w="105" w:type="dxa"/>
            </w:tcMar>
          </w:tcPr>
          <w:p w14:paraId="05B20CE1"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Light-green vehicles enhance perception of environmental friendliness and encourage rentals, while light-blue vehicles reduce decision-making time by evoking mental imagery </w:t>
            </w:r>
          </w:p>
          <w:p w14:paraId="05B20CE2" w14:textId="77777777" w:rsidR="00932051" w:rsidRDefault="00932051">
            <w:pPr>
              <w:rPr>
                <w:rFonts w:ascii="Times New Roman" w:eastAsia="Times New Roman" w:hAnsi="Times New Roman" w:cs="Times New Roman"/>
                <w:color w:val="000000"/>
              </w:rPr>
            </w:pPr>
          </w:p>
        </w:tc>
      </w:tr>
      <w:tr w:rsidR="00932051" w14:paraId="05B20CEA" w14:textId="77777777">
        <w:trPr>
          <w:trHeight w:val="285"/>
        </w:trPr>
        <w:tc>
          <w:tcPr>
            <w:tcW w:w="2400" w:type="dxa"/>
            <w:tcBorders>
              <w:top w:val="nil"/>
              <w:left w:val="nil"/>
              <w:bottom w:val="nil"/>
              <w:right w:val="nil"/>
            </w:tcBorders>
            <w:tcMar>
              <w:left w:w="105" w:type="dxa"/>
              <w:right w:w="105" w:type="dxa"/>
            </w:tcMar>
          </w:tcPr>
          <w:p w14:paraId="05B20CE4"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t>Origin (implicit)</w:t>
            </w:r>
          </w:p>
        </w:tc>
        <w:tc>
          <w:tcPr>
            <w:tcW w:w="2400" w:type="dxa"/>
            <w:tcBorders>
              <w:top w:val="nil"/>
              <w:left w:val="nil"/>
              <w:bottom w:val="nil"/>
              <w:right w:val="nil"/>
            </w:tcBorders>
            <w:tcMar>
              <w:left w:w="105" w:type="dxa"/>
              <w:right w:w="105" w:type="dxa"/>
            </w:tcMar>
          </w:tcPr>
          <w:p w14:paraId="05B20CE5"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Gruber et al. 2014</w:t>
            </w:r>
          </w:p>
        </w:tc>
        <w:tc>
          <w:tcPr>
            <w:tcW w:w="2400" w:type="dxa"/>
            <w:tcBorders>
              <w:top w:val="nil"/>
              <w:left w:val="nil"/>
              <w:bottom w:val="nil"/>
              <w:right w:val="nil"/>
            </w:tcBorders>
            <w:tcMar>
              <w:left w:w="105" w:type="dxa"/>
              <w:right w:w="105" w:type="dxa"/>
            </w:tcMar>
          </w:tcPr>
          <w:p w14:paraId="05B20CE6"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Country of origin</w:t>
            </w:r>
          </w:p>
          <w:p w14:paraId="05B20CE7"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Sustainability-related inferences</w:t>
            </w:r>
          </w:p>
        </w:tc>
        <w:tc>
          <w:tcPr>
            <w:tcW w:w="2400" w:type="dxa"/>
            <w:tcBorders>
              <w:top w:val="nil"/>
              <w:left w:val="nil"/>
              <w:bottom w:val="nil"/>
              <w:right w:val="nil"/>
            </w:tcBorders>
            <w:tcMar>
              <w:left w:w="105" w:type="dxa"/>
              <w:right w:w="105" w:type="dxa"/>
            </w:tcMar>
          </w:tcPr>
          <w:p w14:paraId="05B20CE8"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Products made in developing countries are often associated with lower social and environmental sustainability than products from developed countries</w:t>
            </w:r>
          </w:p>
          <w:p w14:paraId="05B20CE9"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932051" w14:paraId="05B20CF2" w14:textId="77777777">
        <w:trPr>
          <w:trHeight w:val="285"/>
        </w:trPr>
        <w:tc>
          <w:tcPr>
            <w:tcW w:w="2400" w:type="dxa"/>
            <w:tcBorders>
              <w:top w:val="nil"/>
              <w:left w:val="nil"/>
              <w:bottom w:val="nil"/>
              <w:right w:val="nil"/>
            </w:tcBorders>
            <w:tcMar>
              <w:left w:w="105" w:type="dxa"/>
              <w:right w:w="105" w:type="dxa"/>
            </w:tcMar>
          </w:tcPr>
          <w:p w14:paraId="05B20CEB"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 xml:space="preserve"> </w:t>
            </w:r>
          </w:p>
        </w:tc>
        <w:tc>
          <w:tcPr>
            <w:tcW w:w="2400" w:type="dxa"/>
            <w:tcBorders>
              <w:top w:val="nil"/>
              <w:left w:val="nil"/>
              <w:bottom w:val="nil"/>
              <w:right w:val="nil"/>
            </w:tcBorders>
            <w:tcMar>
              <w:left w:w="105" w:type="dxa"/>
              <w:right w:w="105" w:type="dxa"/>
            </w:tcMar>
          </w:tcPr>
          <w:p w14:paraId="05B20CEC"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Lazzarini et al. 2018</w:t>
            </w:r>
          </w:p>
        </w:tc>
        <w:tc>
          <w:tcPr>
            <w:tcW w:w="2400" w:type="dxa"/>
            <w:tcBorders>
              <w:top w:val="nil"/>
              <w:left w:val="nil"/>
              <w:bottom w:val="nil"/>
              <w:right w:val="nil"/>
            </w:tcBorders>
            <w:tcMar>
              <w:left w:w="105" w:type="dxa"/>
              <w:right w:w="105" w:type="dxa"/>
            </w:tcMar>
          </w:tcPr>
          <w:p w14:paraId="05B20CED"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Country of origin</w:t>
            </w:r>
          </w:p>
          <w:p w14:paraId="05B20CEE"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Perceived sustainability</w:t>
            </w:r>
          </w:p>
          <w:p w14:paraId="05B20CEF"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Perceived impact </w:t>
            </w:r>
          </w:p>
        </w:tc>
        <w:tc>
          <w:tcPr>
            <w:tcW w:w="2400" w:type="dxa"/>
            <w:tcBorders>
              <w:top w:val="nil"/>
              <w:left w:val="nil"/>
              <w:bottom w:val="nil"/>
              <w:right w:val="nil"/>
            </w:tcBorders>
            <w:tcMar>
              <w:left w:w="105" w:type="dxa"/>
              <w:right w:w="105" w:type="dxa"/>
            </w:tcMar>
          </w:tcPr>
          <w:p w14:paraId="05B20CF0"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Local products are perceived as more sustainable </w:t>
            </w:r>
          </w:p>
          <w:p w14:paraId="05B20CF1"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932051" w14:paraId="05B20CF9" w14:textId="77777777">
        <w:trPr>
          <w:trHeight w:val="285"/>
        </w:trPr>
        <w:tc>
          <w:tcPr>
            <w:tcW w:w="2400" w:type="dxa"/>
            <w:vMerge w:val="restart"/>
            <w:tcBorders>
              <w:top w:val="nil"/>
              <w:left w:val="nil"/>
              <w:bottom w:val="nil"/>
              <w:right w:val="nil"/>
            </w:tcBorders>
            <w:tcMar>
              <w:left w:w="105" w:type="dxa"/>
              <w:right w:w="105" w:type="dxa"/>
            </w:tcMar>
          </w:tcPr>
          <w:p w14:paraId="05B20CF3" w14:textId="77777777" w:rsidR="00932051" w:rsidRDefault="00525931">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Brand logo (implicit)</w:t>
            </w:r>
          </w:p>
          <w:p w14:paraId="05B20CF4" w14:textId="77777777" w:rsidR="00932051" w:rsidRDefault="00932051">
            <w:pPr>
              <w:rPr>
                <w:rFonts w:ascii="Times New Roman" w:eastAsia="Times New Roman" w:hAnsi="Times New Roman" w:cs="Times New Roman"/>
                <w:b/>
                <w:bCs/>
                <w:color w:val="000000"/>
              </w:rPr>
            </w:pPr>
          </w:p>
        </w:tc>
        <w:tc>
          <w:tcPr>
            <w:tcW w:w="2400" w:type="dxa"/>
            <w:tcBorders>
              <w:top w:val="nil"/>
              <w:left w:val="nil"/>
              <w:bottom w:val="nil"/>
              <w:right w:val="nil"/>
            </w:tcBorders>
            <w:tcMar>
              <w:left w:w="105" w:type="dxa"/>
              <w:right w:w="105" w:type="dxa"/>
            </w:tcMar>
          </w:tcPr>
          <w:p w14:paraId="05B20CF5"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Joshi &amp; </w:t>
            </w:r>
            <w:proofErr w:type="spellStart"/>
            <w:r>
              <w:rPr>
                <w:rFonts w:ascii="Times New Roman" w:eastAsia="Times New Roman" w:hAnsi="Times New Roman" w:cs="Times New Roman"/>
                <w:color w:val="000000"/>
              </w:rPr>
              <w:t>Kronrod</w:t>
            </w:r>
            <w:proofErr w:type="spellEnd"/>
            <w:r>
              <w:rPr>
                <w:rFonts w:ascii="Times New Roman" w:eastAsia="Times New Roman" w:hAnsi="Times New Roman" w:cs="Times New Roman"/>
                <w:color w:val="000000"/>
              </w:rPr>
              <w:t>, 2020</w:t>
            </w:r>
          </w:p>
        </w:tc>
        <w:tc>
          <w:tcPr>
            <w:tcW w:w="2400" w:type="dxa"/>
            <w:tcBorders>
              <w:top w:val="nil"/>
              <w:left w:val="nil"/>
              <w:bottom w:val="nil"/>
              <w:right w:val="nil"/>
            </w:tcBorders>
            <w:tcMar>
              <w:left w:w="105" w:type="dxa"/>
              <w:right w:w="105" w:type="dxa"/>
            </w:tcMar>
          </w:tcPr>
          <w:p w14:paraId="05B20CF6"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Brand names</w:t>
            </w:r>
          </w:p>
        </w:tc>
        <w:tc>
          <w:tcPr>
            <w:tcW w:w="2400" w:type="dxa"/>
            <w:tcBorders>
              <w:top w:val="nil"/>
              <w:left w:val="nil"/>
              <w:bottom w:val="nil"/>
              <w:right w:val="nil"/>
            </w:tcBorders>
            <w:tcMar>
              <w:left w:w="105" w:type="dxa"/>
              <w:right w:w="105" w:type="dxa"/>
            </w:tcMar>
          </w:tcPr>
          <w:p w14:paraId="05B20CF7"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Silent consonants in brand names (vs. voiced consonants) better convey eco-friendliness</w:t>
            </w:r>
          </w:p>
          <w:p w14:paraId="05B20CF8" w14:textId="77777777" w:rsidR="00932051" w:rsidRDefault="00932051">
            <w:pPr>
              <w:rPr>
                <w:rFonts w:ascii="Times New Roman" w:eastAsia="Times New Roman" w:hAnsi="Times New Roman" w:cs="Times New Roman"/>
                <w:color w:val="000000"/>
              </w:rPr>
            </w:pPr>
          </w:p>
        </w:tc>
      </w:tr>
      <w:tr w:rsidR="00932051" w14:paraId="05B20D00" w14:textId="77777777">
        <w:trPr>
          <w:trHeight w:val="285"/>
        </w:trPr>
        <w:tc>
          <w:tcPr>
            <w:tcW w:w="2400" w:type="dxa"/>
            <w:vMerge/>
            <w:tcBorders>
              <w:top w:val="nil"/>
              <w:left w:val="nil"/>
              <w:bottom w:val="nil"/>
              <w:right w:val="nil"/>
            </w:tcBorders>
            <w:tcMar>
              <w:left w:w="105" w:type="dxa"/>
              <w:right w:w="105" w:type="dxa"/>
            </w:tcMar>
          </w:tcPr>
          <w:p w14:paraId="05B20CFA" w14:textId="77777777" w:rsidR="00932051" w:rsidRDefault="00932051">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400" w:type="dxa"/>
            <w:tcBorders>
              <w:top w:val="nil"/>
              <w:left w:val="nil"/>
              <w:bottom w:val="nil"/>
              <w:right w:val="nil"/>
            </w:tcBorders>
            <w:tcMar>
              <w:left w:w="105" w:type="dxa"/>
              <w:right w:w="105" w:type="dxa"/>
            </w:tcMar>
          </w:tcPr>
          <w:p w14:paraId="05B20CFB" w14:textId="77777777" w:rsidR="00932051" w:rsidRDefault="00525931">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Meiting</w:t>
            </w:r>
            <w:proofErr w:type="spellEnd"/>
            <w:r>
              <w:rPr>
                <w:rFonts w:ascii="Times New Roman" w:eastAsia="Times New Roman" w:hAnsi="Times New Roman" w:cs="Times New Roman"/>
                <w:color w:val="000000"/>
              </w:rPr>
              <w:t xml:space="preserve"> &amp; Hua, 2021</w:t>
            </w:r>
          </w:p>
          <w:p w14:paraId="05B20CFC" w14:textId="77777777" w:rsidR="00932051" w:rsidRDefault="00932051">
            <w:pPr>
              <w:rPr>
                <w:rFonts w:ascii="Times New Roman" w:eastAsia="Times New Roman" w:hAnsi="Times New Roman" w:cs="Times New Roman"/>
                <w:color w:val="000000"/>
              </w:rPr>
            </w:pPr>
          </w:p>
        </w:tc>
        <w:tc>
          <w:tcPr>
            <w:tcW w:w="2400" w:type="dxa"/>
            <w:tcBorders>
              <w:top w:val="nil"/>
              <w:left w:val="nil"/>
              <w:bottom w:val="nil"/>
              <w:right w:val="nil"/>
            </w:tcBorders>
            <w:tcMar>
              <w:left w:w="105" w:type="dxa"/>
              <w:right w:w="105" w:type="dxa"/>
            </w:tcMar>
          </w:tcPr>
          <w:p w14:paraId="05B20CFD"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Logo shape</w:t>
            </w:r>
          </w:p>
        </w:tc>
        <w:tc>
          <w:tcPr>
            <w:tcW w:w="2400" w:type="dxa"/>
            <w:tcBorders>
              <w:top w:val="nil"/>
              <w:left w:val="nil"/>
              <w:bottom w:val="nil"/>
              <w:right w:val="nil"/>
            </w:tcBorders>
            <w:tcMar>
              <w:left w:w="105" w:type="dxa"/>
              <w:right w:w="105" w:type="dxa"/>
            </w:tcMar>
          </w:tcPr>
          <w:p w14:paraId="05B20CFE"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Rounded logos are perceived as more appropriate for green brands than angular logos</w:t>
            </w:r>
          </w:p>
          <w:p w14:paraId="05B20CFF" w14:textId="77777777" w:rsidR="00932051" w:rsidRDefault="00932051">
            <w:pPr>
              <w:rPr>
                <w:rFonts w:ascii="Times New Roman" w:eastAsia="Times New Roman" w:hAnsi="Times New Roman" w:cs="Times New Roman"/>
                <w:color w:val="000000"/>
              </w:rPr>
            </w:pPr>
          </w:p>
        </w:tc>
      </w:tr>
      <w:tr w:rsidR="00932051" w14:paraId="05B20D08" w14:textId="77777777">
        <w:trPr>
          <w:trHeight w:val="285"/>
        </w:trPr>
        <w:tc>
          <w:tcPr>
            <w:tcW w:w="2400" w:type="dxa"/>
            <w:tcBorders>
              <w:top w:val="nil"/>
              <w:left w:val="nil"/>
              <w:bottom w:val="nil"/>
              <w:right w:val="nil"/>
            </w:tcBorders>
            <w:tcMar>
              <w:left w:w="105" w:type="dxa"/>
              <w:right w:w="105" w:type="dxa"/>
            </w:tcMar>
          </w:tcPr>
          <w:p w14:paraId="05B20D01"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t>Material (implicit)</w:t>
            </w:r>
          </w:p>
        </w:tc>
        <w:tc>
          <w:tcPr>
            <w:tcW w:w="2400" w:type="dxa"/>
            <w:tcBorders>
              <w:top w:val="nil"/>
              <w:left w:val="nil"/>
              <w:bottom w:val="nil"/>
              <w:right w:val="nil"/>
            </w:tcBorders>
            <w:tcMar>
              <w:left w:w="105" w:type="dxa"/>
              <w:right w:w="105" w:type="dxa"/>
            </w:tcMar>
          </w:tcPr>
          <w:p w14:paraId="05B20D02"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Steenis et al. 2017</w:t>
            </w:r>
          </w:p>
        </w:tc>
        <w:tc>
          <w:tcPr>
            <w:tcW w:w="2400" w:type="dxa"/>
            <w:tcBorders>
              <w:top w:val="nil"/>
              <w:left w:val="nil"/>
              <w:bottom w:val="nil"/>
              <w:right w:val="nil"/>
            </w:tcBorders>
            <w:tcMar>
              <w:left w:w="105" w:type="dxa"/>
              <w:right w:w="105" w:type="dxa"/>
            </w:tcMar>
          </w:tcPr>
          <w:p w14:paraId="05B20D03"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Packaging materials</w:t>
            </w:r>
          </w:p>
          <w:p w14:paraId="05B20D04"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Design</w:t>
            </w:r>
          </w:p>
          <w:p w14:paraId="05B20D05"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Sustainability perceptions</w:t>
            </w:r>
          </w:p>
        </w:tc>
        <w:tc>
          <w:tcPr>
            <w:tcW w:w="2400" w:type="dxa"/>
            <w:tcBorders>
              <w:top w:val="nil"/>
              <w:left w:val="nil"/>
              <w:bottom w:val="nil"/>
              <w:right w:val="nil"/>
            </w:tcBorders>
            <w:tcMar>
              <w:left w:w="105" w:type="dxa"/>
              <w:right w:w="105" w:type="dxa"/>
            </w:tcMar>
          </w:tcPr>
          <w:p w14:paraId="05B20D06"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Consumers rely on lay beliefs to judge materials' sustainability and are therefore susceptible to making ineffective environmental decisions </w:t>
            </w:r>
          </w:p>
          <w:p w14:paraId="05B20D07"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932051" w14:paraId="05B20D10" w14:textId="77777777">
        <w:trPr>
          <w:trHeight w:val="285"/>
        </w:trPr>
        <w:tc>
          <w:tcPr>
            <w:tcW w:w="2400" w:type="dxa"/>
            <w:tcBorders>
              <w:top w:val="nil"/>
              <w:left w:val="nil"/>
              <w:bottom w:val="nil"/>
              <w:right w:val="nil"/>
            </w:tcBorders>
            <w:tcMar>
              <w:left w:w="105" w:type="dxa"/>
              <w:right w:w="105" w:type="dxa"/>
            </w:tcMar>
          </w:tcPr>
          <w:p w14:paraId="05B20D09"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2400" w:type="dxa"/>
            <w:tcBorders>
              <w:top w:val="nil"/>
              <w:left w:val="nil"/>
              <w:bottom w:val="nil"/>
              <w:right w:val="nil"/>
            </w:tcBorders>
            <w:tcMar>
              <w:left w:w="105" w:type="dxa"/>
              <w:right w:w="105" w:type="dxa"/>
            </w:tcMar>
          </w:tcPr>
          <w:p w14:paraId="05B20D0A" w14:textId="77777777" w:rsidR="00932051" w:rsidRDefault="00525931">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Ischen</w:t>
            </w:r>
            <w:proofErr w:type="spellEnd"/>
            <w:r>
              <w:rPr>
                <w:rFonts w:ascii="Times New Roman" w:eastAsia="Times New Roman" w:hAnsi="Times New Roman" w:cs="Times New Roman"/>
                <w:color w:val="000000"/>
              </w:rPr>
              <w:t xml:space="preserve"> et al. 2022</w:t>
            </w:r>
          </w:p>
        </w:tc>
        <w:tc>
          <w:tcPr>
            <w:tcW w:w="2400" w:type="dxa"/>
            <w:tcBorders>
              <w:top w:val="nil"/>
              <w:left w:val="nil"/>
              <w:bottom w:val="nil"/>
              <w:right w:val="nil"/>
            </w:tcBorders>
            <w:tcMar>
              <w:left w:w="105" w:type="dxa"/>
              <w:right w:w="105" w:type="dxa"/>
            </w:tcMar>
          </w:tcPr>
          <w:p w14:paraId="05B20D0B"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Greenness perception</w:t>
            </w:r>
          </w:p>
          <w:p w14:paraId="05B20D0C"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Packaging materials</w:t>
            </w:r>
          </w:p>
          <w:p w14:paraId="05B20D0D"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Eco-labels</w:t>
            </w:r>
          </w:p>
        </w:tc>
        <w:tc>
          <w:tcPr>
            <w:tcW w:w="2400" w:type="dxa"/>
            <w:tcBorders>
              <w:top w:val="nil"/>
              <w:left w:val="nil"/>
              <w:bottom w:val="nil"/>
              <w:right w:val="nil"/>
            </w:tcBorders>
            <w:tcMar>
              <w:left w:w="105" w:type="dxa"/>
              <w:right w:w="105" w:type="dxa"/>
            </w:tcMar>
          </w:tcPr>
          <w:p w14:paraId="05B20D0E"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Packaging material influences greenness perceptions</w:t>
            </w:r>
          </w:p>
          <w:p w14:paraId="05B20D0F"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932051" w14:paraId="05B20D17" w14:textId="77777777">
        <w:trPr>
          <w:trHeight w:val="285"/>
        </w:trPr>
        <w:tc>
          <w:tcPr>
            <w:tcW w:w="2400" w:type="dxa"/>
            <w:tcBorders>
              <w:top w:val="nil"/>
              <w:left w:val="nil"/>
              <w:bottom w:val="nil"/>
              <w:right w:val="nil"/>
            </w:tcBorders>
            <w:tcMar>
              <w:left w:w="105" w:type="dxa"/>
              <w:right w:w="105" w:type="dxa"/>
            </w:tcMar>
          </w:tcPr>
          <w:p w14:paraId="05B20D11"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2400" w:type="dxa"/>
            <w:tcBorders>
              <w:top w:val="nil"/>
              <w:left w:val="nil"/>
              <w:bottom w:val="nil"/>
              <w:right w:val="nil"/>
            </w:tcBorders>
            <w:tcMar>
              <w:left w:w="105" w:type="dxa"/>
              <w:right w:w="105" w:type="dxa"/>
            </w:tcMar>
          </w:tcPr>
          <w:p w14:paraId="05B20D12"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Sokolova et al. 2023</w:t>
            </w:r>
          </w:p>
        </w:tc>
        <w:tc>
          <w:tcPr>
            <w:tcW w:w="2400" w:type="dxa"/>
            <w:tcBorders>
              <w:top w:val="nil"/>
              <w:left w:val="nil"/>
              <w:bottom w:val="nil"/>
              <w:right w:val="nil"/>
            </w:tcBorders>
            <w:tcMar>
              <w:left w:w="105" w:type="dxa"/>
              <w:right w:w="105" w:type="dxa"/>
            </w:tcMar>
          </w:tcPr>
          <w:p w14:paraId="05B20D13"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Packaging materials</w:t>
            </w:r>
          </w:p>
          <w:p w14:paraId="05B20D14"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Cognitive bias</w:t>
            </w:r>
          </w:p>
        </w:tc>
        <w:tc>
          <w:tcPr>
            <w:tcW w:w="2400" w:type="dxa"/>
            <w:tcBorders>
              <w:top w:val="nil"/>
              <w:left w:val="nil"/>
              <w:bottom w:val="nil"/>
              <w:right w:val="nil"/>
            </w:tcBorders>
            <w:tcMar>
              <w:left w:w="105" w:type="dxa"/>
              <w:right w:w="105" w:type="dxa"/>
            </w:tcMar>
          </w:tcPr>
          <w:p w14:paraId="05B20D15"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Consumers judge plastic packaging with additional paper to be more environmentally friendly than identical packaging without the paper</w:t>
            </w:r>
          </w:p>
          <w:p w14:paraId="05B20D16"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932051" w14:paraId="05B20D1D" w14:textId="77777777">
        <w:trPr>
          <w:trHeight w:val="285"/>
        </w:trPr>
        <w:tc>
          <w:tcPr>
            <w:tcW w:w="2400" w:type="dxa"/>
            <w:tcBorders>
              <w:top w:val="nil"/>
              <w:left w:val="nil"/>
              <w:bottom w:val="single" w:sz="12" w:space="0" w:color="000000"/>
              <w:right w:val="nil"/>
            </w:tcBorders>
            <w:tcMar>
              <w:left w:w="105" w:type="dxa"/>
              <w:right w:w="105" w:type="dxa"/>
            </w:tcMar>
          </w:tcPr>
          <w:p w14:paraId="05B20D18"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b/>
                <w:bCs/>
                <w:color w:val="000000"/>
              </w:rPr>
              <w:t>Numeric variation (implicit)</w:t>
            </w:r>
          </w:p>
        </w:tc>
        <w:tc>
          <w:tcPr>
            <w:tcW w:w="2400" w:type="dxa"/>
            <w:tcBorders>
              <w:top w:val="nil"/>
              <w:left w:val="nil"/>
              <w:bottom w:val="single" w:sz="12" w:space="0" w:color="000000"/>
              <w:right w:val="nil"/>
            </w:tcBorders>
            <w:tcMar>
              <w:left w:w="105" w:type="dxa"/>
              <w:right w:w="105" w:type="dxa"/>
            </w:tcMar>
          </w:tcPr>
          <w:p w14:paraId="05B20D19"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Our paper</w:t>
            </w:r>
          </w:p>
        </w:tc>
        <w:tc>
          <w:tcPr>
            <w:tcW w:w="2400" w:type="dxa"/>
            <w:tcBorders>
              <w:top w:val="nil"/>
              <w:left w:val="nil"/>
              <w:bottom w:val="single" w:sz="12" w:space="0" w:color="000000"/>
              <w:right w:val="nil"/>
            </w:tcBorders>
            <w:tcMar>
              <w:left w:w="105" w:type="dxa"/>
              <w:right w:w="105" w:type="dxa"/>
            </w:tcMar>
          </w:tcPr>
          <w:p w14:paraId="05B20D1A"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Additive and subtractive actions</w:t>
            </w:r>
          </w:p>
          <w:p w14:paraId="05B20D1B"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Sustainability judgments</w:t>
            </w:r>
          </w:p>
        </w:tc>
        <w:tc>
          <w:tcPr>
            <w:tcW w:w="2400" w:type="dxa"/>
            <w:tcBorders>
              <w:top w:val="nil"/>
              <w:left w:val="nil"/>
              <w:bottom w:val="single" w:sz="12" w:space="0" w:color="000000"/>
              <w:right w:val="nil"/>
            </w:tcBorders>
            <w:tcMar>
              <w:left w:w="105" w:type="dxa"/>
              <w:right w:w="105" w:type="dxa"/>
            </w:tcMar>
          </w:tcPr>
          <w:p w14:paraId="05B20D1C" w14:textId="77777777" w:rsidR="00932051" w:rsidRDefault="00525931">
            <w:pPr>
              <w:rPr>
                <w:rFonts w:ascii="Times New Roman" w:eastAsia="Times New Roman" w:hAnsi="Times New Roman" w:cs="Times New Roman"/>
                <w:color w:val="000000"/>
              </w:rPr>
            </w:pPr>
            <w:r>
              <w:rPr>
                <w:rFonts w:ascii="Times New Roman" w:eastAsia="Times New Roman" w:hAnsi="Times New Roman" w:cs="Times New Roman"/>
                <w:color w:val="000000"/>
              </w:rPr>
              <w:t>Consumers assess companies’ offerings as more sustainable when eco-friendly components are added (rather than subtracted)</w:t>
            </w:r>
          </w:p>
        </w:tc>
      </w:tr>
    </w:tbl>
    <w:p w14:paraId="05B20D1F" w14:textId="77777777" w:rsidR="00932051" w:rsidRDefault="00932051">
      <w:pPr>
        <w:spacing w:line="480" w:lineRule="auto"/>
        <w:rPr>
          <w:rFonts w:ascii="Times New Roman" w:eastAsia="Times New Roman" w:hAnsi="Times New Roman" w:cs="Times New Roman"/>
          <w:b/>
          <w:bCs/>
          <w:color w:val="000000"/>
          <w:sz w:val="24"/>
          <w:szCs w:val="24"/>
        </w:rPr>
      </w:pPr>
    </w:p>
    <w:p w14:paraId="05B20D20" w14:textId="77777777" w:rsidR="00932051" w:rsidRDefault="00525931">
      <w:pPr>
        <w:spacing w:line="48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sz w:val="28"/>
          <w:szCs w:val="28"/>
        </w:rPr>
        <w:t>A bias toward addition: Numeric variation in eco-friendly components as an implicit cue</w:t>
      </w:r>
    </w:p>
    <w:p w14:paraId="05B20D21" w14:textId="77777777" w:rsidR="00932051" w:rsidRDefault="00525931">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 propose that consumers use variation in the number of sustainable components associated with an offering as an implicit cue of sustainability, intuitively equating the addition of eco-</w:t>
      </w:r>
      <w:r>
        <w:rPr>
          <w:rFonts w:ascii="Times New Roman" w:eastAsia="Times New Roman" w:hAnsi="Times New Roman" w:cs="Times New Roman"/>
          <w:color w:val="000000"/>
          <w:sz w:val="24"/>
          <w:szCs w:val="24"/>
        </w:rPr>
        <w:lastRenderedPageBreak/>
        <w:t>friendly components with a more sustainable offering and the addition of more regular, traditional components with a less sustainable one.</w:t>
      </w:r>
    </w:p>
    <w:p w14:paraId="05B20D22" w14:textId="77777777" w:rsidR="00932051" w:rsidRDefault="00525931">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intuition is based on how individuals process presence and absence of components when forming judgments. Because absent information is less obviously salient and harder to evaluate, people tend to focus on what is explicitly presented </w:t>
      </w:r>
      <w:r>
        <w:rPr>
          <w:rFonts w:ascii="Times New Roman" w:eastAsia="Times New Roman" w:hAnsi="Times New Roman" w:cs="Times New Roman"/>
          <w:sz w:val="24"/>
          <w:szCs w:val="24"/>
        </w:rPr>
        <w:t>and to disregard what is not blatantly visible, a phenomenon known as omission neglect. Early experimental work by Jenkins and Sainsbury (1969) and Hearst (1984) showed that participants classified stimuli more readily by focusing on positive available features rather than on missing information. Additions therefore exert a disproportionate influence on judgment, with subtractions often passing unnoticed (</w:t>
      </w:r>
      <w:proofErr w:type="spellStart"/>
      <w:r>
        <w:rPr>
          <w:rFonts w:ascii="Times New Roman" w:eastAsia="Times New Roman" w:hAnsi="Times New Roman" w:cs="Times New Roman"/>
          <w:sz w:val="24"/>
          <w:szCs w:val="24"/>
        </w:rPr>
        <w:t>DeScioli</w:t>
      </w:r>
      <w:proofErr w:type="spellEnd"/>
      <w:r>
        <w:rPr>
          <w:rFonts w:ascii="Times New Roman" w:eastAsia="Times New Roman" w:hAnsi="Times New Roman" w:cs="Times New Roman"/>
          <w:sz w:val="24"/>
          <w:szCs w:val="24"/>
        </w:rPr>
        <w:t xml:space="preserve"> et al. 2011). </w:t>
      </w:r>
      <w:proofErr w:type="spellStart"/>
      <w:r>
        <w:rPr>
          <w:rFonts w:ascii="Times New Roman" w:eastAsia="Times New Roman" w:hAnsi="Times New Roman" w:cs="Times New Roman"/>
          <w:sz w:val="24"/>
          <w:szCs w:val="24"/>
        </w:rPr>
        <w:t>Kardes</w:t>
      </w:r>
      <w:proofErr w:type="spellEnd"/>
      <w:r>
        <w:rPr>
          <w:rFonts w:ascii="Times New Roman" w:eastAsia="Times New Roman" w:hAnsi="Times New Roman" w:cs="Times New Roman"/>
          <w:sz w:val="24"/>
          <w:szCs w:val="24"/>
        </w:rPr>
        <w:t xml:space="preserve"> et al. (2022) show that, faced with incomplete product descriptions, consumers form judgments from the information available without questioning what has been omitted, so the informational value of omitted elements is overlooked. </w:t>
      </w:r>
      <w:r>
        <w:rPr>
          <w:rFonts w:ascii="Times New Roman" w:eastAsia="Times New Roman" w:hAnsi="Times New Roman" w:cs="Times New Roman"/>
          <w:color w:val="000000"/>
          <w:sz w:val="24"/>
          <w:szCs w:val="24"/>
        </w:rPr>
        <w:t xml:space="preserve">   </w:t>
      </w:r>
    </w:p>
    <w:p w14:paraId="05B20D23"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Beyond omission neglect, multiple studies in a variety of fields have demonstrated a general inclination among individuals toward addition and abundance, rather than subtraction and moderation. Psycholinguistic and social cognition studies have shown that people are more persuaded by, and more likely to remember, statements framed in terms of “more” rather than “less.” For instance, </w:t>
      </w:r>
      <w:proofErr w:type="spellStart"/>
      <w:r>
        <w:rPr>
          <w:rFonts w:ascii="Times New Roman" w:eastAsia="Times New Roman" w:hAnsi="Times New Roman" w:cs="Times New Roman"/>
          <w:sz w:val="24"/>
          <w:szCs w:val="24"/>
        </w:rPr>
        <w:t>Hoorens</w:t>
      </w:r>
      <w:proofErr w:type="spellEnd"/>
      <w:r>
        <w:rPr>
          <w:rFonts w:ascii="Times New Roman" w:eastAsia="Times New Roman" w:hAnsi="Times New Roman" w:cs="Times New Roman"/>
          <w:sz w:val="24"/>
          <w:szCs w:val="24"/>
        </w:rPr>
        <w:t xml:space="preserve"> and Bruckmüller (2015) found significantly greater agreement with statements in the “more than” form than in the “less than” form. In daily conversations, “more” or words associated with addition are more common and used more frequently than their “less” equivalents; they also emerge earlier in language acquisition and are easier and quicker to process (</w:t>
      </w:r>
      <w:proofErr w:type="spellStart"/>
      <w:r>
        <w:rPr>
          <w:rFonts w:ascii="Times New Roman" w:eastAsia="Times New Roman" w:hAnsi="Times New Roman" w:cs="Times New Roman"/>
          <w:sz w:val="24"/>
          <w:szCs w:val="24"/>
        </w:rPr>
        <w:t>Hoorens</w:t>
      </w:r>
      <w:proofErr w:type="spellEnd"/>
      <w:r>
        <w:rPr>
          <w:rFonts w:ascii="Times New Roman" w:eastAsia="Times New Roman" w:hAnsi="Times New Roman" w:cs="Times New Roman"/>
          <w:sz w:val="24"/>
          <w:szCs w:val="24"/>
        </w:rPr>
        <w:t xml:space="preserve"> and Bruckmüller 2015; Klotz 2022; Skylark 2021; Winter et al. 2023). This asymmetry in favor of addition extends to consumption contexts. For instance, it has been shown that consumers are willing to pay more for visually complex products than for simpler alternatives, even when the added complexity offers no functional benefit (Min et al. 2025). They also respond more positively to gain-framed communications, that is, those </w:t>
      </w:r>
      <w:r>
        <w:rPr>
          <w:rFonts w:ascii="Times New Roman" w:eastAsia="Times New Roman" w:hAnsi="Times New Roman" w:cs="Times New Roman"/>
          <w:sz w:val="24"/>
          <w:szCs w:val="24"/>
        </w:rPr>
        <w:lastRenderedPageBreak/>
        <w:t>emphasizing the increase of desirable benefits and/or behaviors (e.g., consuming more plant-based meals) than to loss-framed messages that emphasize reduction (e.g., cutting down on meat consumption) (Carvalho et al. 2022).</w:t>
      </w:r>
    </w:p>
    <w:p w14:paraId="05B20D24"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Behavioral research supports this pattern. Across experiments involving tasks such as modifying LEGO® structures, redesigning miniature golf courses, and improving digital grids, Adams et al. (2021) show that participants routinely overlook opportunities to improve outcomes through subtraction, favoring addition instead, and that this persisted even when they were prompted to consider subtractive changes. Barnett et al. (2023) identified a similar recycling bias: consumers widely believe recycling to be the most effective waste reduction strategy, even though source reduction, that is, consuming less in the first place, is often far more impactful. This bias reframes sustainability from “reduce to generate less waste” to “recycle more to be sustainable,” reinforcing the notion that action and additions are inherently more virtuous than restraint or reductions.</w:t>
      </w:r>
    </w:p>
    <w:p w14:paraId="05B20D25"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Together, these findings suggest that people focus on what is visible and present, prefer additions to subtractions, and process “plus” attributes more easily than “minus” ones. Applied to sustainability, this implies that consumers base their judgments on visibly present environmentally friendly components, neglecting that their absence could actually reduce the overall environmental impact of the offering, with each additional visible eco-friendly cue skewing judgment in a more positive direction. Removing visible sustainable components may not necessarily harm such evaluations, but it is unlikely to enhance them because absent components remain largely neutral.</w:t>
      </w:r>
    </w:p>
    <w:p w14:paraId="05B20D26"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addition may not always have a positive effect. When added components do not convey environmental friendliness, consumers may interpret them as detrimental to sustainability: the more traditional components an offering includes, the less sustainable the company is perceived to be. Based on this reasoning, we posit that consumers may rely on </w:t>
      </w:r>
      <w:r>
        <w:rPr>
          <w:rFonts w:ascii="Times New Roman" w:eastAsia="Times New Roman" w:hAnsi="Times New Roman" w:cs="Times New Roman"/>
          <w:sz w:val="24"/>
          <w:szCs w:val="24"/>
        </w:rPr>
        <w:lastRenderedPageBreak/>
        <w:t xml:space="preserve">different cognitive processes when evaluating traditional and eco-friendly additions, with the latter activating what we term the </w:t>
      </w:r>
      <w:r>
        <w:rPr>
          <w:rFonts w:ascii="Times New Roman" w:eastAsia="Times New Roman" w:hAnsi="Times New Roman" w:cs="Times New Roman"/>
          <w:i/>
          <w:iCs/>
          <w:sz w:val="24"/>
          <w:szCs w:val="24"/>
        </w:rPr>
        <w:t>sustainable additive bias</w:t>
      </w:r>
      <w:r>
        <w:rPr>
          <w:rFonts w:ascii="Times New Roman" w:eastAsia="Times New Roman" w:hAnsi="Times New Roman" w:cs="Times New Roman"/>
          <w:sz w:val="24"/>
          <w:szCs w:val="24"/>
        </w:rPr>
        <w:t>, while the former does not; more formally:</w:t>
      </w:r>
    </w:p>
    <w:p w14:paraId="05B20D27" w14:textId="1854D26C" w:rsidR="00932051" w:rsidRDefault="00525931" w:rsidP="000460EB">
      <w:pPr>
        <w:spacing w:after="0" w:line="480" w:lineRule="auto"/>
        <w:ind w:left="540" w:hanging="5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w:t>
      </w:r>
      <w:proofErr w:type="gramStart"/>
      <w:r>
        <w:rPr>
          <w:rFonts w:ascii="Times New Roman" w:eastAsia="Times New Roman" w:hAnsi="Times New Roman" w:cs="Times New Roman"/>
          <w:b/>
          <w:bCs/>
          <w:sz w:val="24"/>
          <w:szCs w:val="24"/>
        </w:rPr>
        <w:t>1</w:t>
      </w:r>
      <w:r w:rsidR="00056E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Adding</w:t>
      </w:r>
      <w:proofErr w:type="gramEnd"/>
      <w:r>
        <w:rPr>
          <w:rFonts w:ascii="Times New Roman" w:eastAsia="Times New Roman" w:hAnsi="Times New Roman" w:cs="Times New Roman"/>
          <w:sz w:val="24"/>
          <w:szCs w:val="24"/>
        </w:rPr>
        <w:t xml:space="preserve"> (vs. subtracting) components to an offer has a positive effect on sustainability judgment, when the added components are eco-friendly (vs. traditional). </w:t>
      </w:r>
    </w:p>
    <w:p w14:paraId="05B20D28" w14:textId="77777777" w:rsidR="00932051" w:rsidRDefault="00932051">
      <w:pPr>
        <w:spacing w:after="0" w:line="480" w:lineRule="auto"/>
        <w:jc w:val="both"/>
        <w:rPr>
          <w:rFonts w:ascii="Times New Roman" w:eastAsia="Times New Roman" w:hAnsi="Times New Roman" w:cs="Times New Roman"/>
          <w:b/>
          <w:bCs/>
          <w:color w:val="000000"/>
          <w:sz w:val="28"/>
          <w:szCs w:val="28"/>
        </w:rPr>
      </w:pPr>
    </w:p>
    <w:p w14:paraId="05B20D29" w14:textId="77777777" w:rsidR="00932051" w:rsidRDefault="00525931">
      <w:pPr>
        <w:spacing w:after="0" w:line="48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Perceptions of effort drive the sustainable additive bias</w:t>
      </w:r>
    </w:p>
    <w:p w14:paraId="05B20D2A" w14:textId="77777777" w:rsidR="00932051" w:rsidRDefault="00525931">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 argue that the sustainable additive bias is driven by perceptions of corporate environmental effort, defined as the </w:t>
      </w:r>
      <w:proofErr w:type="gramStart"/>
      <w:r>
        <w:rPr>
          <w:rFonts w:ascii="Times New Roman" w:eastAsia="Times New Roman" w:hAnsi="Times New Roman" w:cs="Times New Roman"/>
          <w:color w:val="000000"/>
          <w:sz w:val="24"/>
          <w:szCs w:val="24"/>
        </w:rPr>
        <w:t>amount</w:t>
      </w:r>
      <w:proofErr w:type="gramEnd"/>
      <w:r>
        <w:rPr>
          <w:rFonts w:ascii="Times New Roman" w:eastAsia="Times New Roman" w:hAnsi="Times New Roman" w:cs="Times New Roman"/>
          <w:color w:val="000000"/>
          <w:sz w:val="24"/>
          <w:szCs w:val="24"/>
        </w:rPr>
        <w:t xml:space="preserve"> of resources (physical, mental, and financial) that consumers believe a company has invested in its sustainability initiatives (Mohr and Bitner 1995; Morales 2005). Such effort is usually not assessed objectively but inferred from observable cues. Consumers thus interpret visible sustainability cues as signals of a company’s effort and commitment toward the environment (</w:t>
      </w:r>
      <w:proofErr w:type="spellStart"/>
      <w:r>
        <w:rPr>
          <w:rFonts w:ascii="Times New Roman" w:eastAsia="Times New Roman" w:hAnsi="Times New Roman" w:cs="Times New Roman"/>
          <w:color w:val="000000"/>
          <w:sz w:val="24"/>
          <w:szCs w:val="24"/>
        </w:rPr>
        <w:t>Ischen</w:t>
      </w:r>
      <w:proofErr w:type="spellEnd"/>
      <w:r>
        <w:rPr>
          <w:rFonts w:ascii="Times New Roman" w:eastAsia="Times New Roman" w:hAnsi="Times New Roman" w:cs="Times New Roman"/>
          <w:color w:val="000000"/>
          <w:sz w:val="24"/>
          <w:szCs w:val="24"/>
        </w:rPr>
        <w:t xml:space="preserve"> et al. 2022; Koenig-Lewis et al. 2014) while overlooking less visible actions (Cologna et al. 2022). The more eco-features added, the greater the corporate environmental effort inferred. First, consumers assume that sustainable components are more costly and resource-intensive for companies (Luchs et al. 2010; Newman et al. 2014). Second, multiple sustainable components suggest that sustainability permeates many aspects of the offering, reinforcing perceptions of a broad, integrated effort. Third, each additional eco-friendly action may be read as a further attempt to address the complex challenge of being sustainable (Cutright and Samper 2014). The addition of eco-friendly components therefore amplifies perceptions of corporate environmental effort and, in turn, of genuine commitment to sustainability.</w:t>
      </w:r>
    </w:p>
    <w:p w14:paraId="05B20D2B" w14:textId="77777777" w:rsidR="00932051" w:rsidRDefault="00525931">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Consumers value effort (Cutright and Samper 2014): the greater the perceived environmental effort, the more favorable the response. They prefer gifts believed to require effort and sacrifice (Robben and </w:t>
      </w:r>
      <w:proofErr w:type="spellStart"/>
      <w:r>
        <w:rPr>
          <w:rFonts w:ascii="Times New Roman" w:eastAsia="Times New Roman" w:hAnsi="Times New Roman" w:cs="Times New Roman"/>
          <w:color w:val="000000"/>
          <w:sz w:val="24"/>
          <w:szCs w:val="24"/>
        </w:rPr>
        <w:t>Verhallen</w:t>
      </w:r>
      <w:proofErr w:type="spellEnd"/>
      <w:r>
        <w:rPr>
          <w:rFonts w:ascii="Times New Roman" w:eastAsia="Times New Roman" w:hAnsi="Times New Roman" w:cs="Times New Roman"/>
          <w:color w:val="000000"/>
          <w:sz w:val="24"/>
          <w:szCs w:val="24"/>
        </w:rPr>
        <w:t xml:space="preserve"> 1994), value self-assembled products more highly (Norton et al. 2012), </w:t>
      </w:r>
      <w:r>
        <w:rPr>
          <w:rFonts w:ascii="Times New Roman" w:eastAsia="Times New Roman" w:hAnsi="Times New Roman" w:cs="Times New Roman"/>
          <w:color w:val="000000"/>
          <w:sz w:val="24"/>
          <w:szCs w:val="24"/>
        </w:rPr>
        <w:lastRenderedPageBreak/>
        <w:t>and are more generous toward causes requiring personal effort (</w:t>
      </w:r>
      <w:proofErr w:type="spellStart"/>
      <w:r>
        <w:rPr>
          <w:rFonts w:ascii="Times New Roman" w:eastAsia="Times New Roman" w:hAnsi="Times New Roman" w:cs="Times New Roman"/>
          <w:color w:val="000000"/>
          <w:sz w:val="24"/>
          <w:szCs w:val="24"/>
        </w:rPr>
        <w:t>Olivola</w:t>
      </w:r>
      <w:proofErr w:type="spellEnd"/>
      <w:r>
        <w:rPr>
          <w:rFonts w:ascii="Times New Roman" w:eastAsia="Times New Roman" w:hAnsi="Times New Roman" w:cs="Times New Roman"/>
          <w:color w:val="000000"/>
          <w:sz w:val="24"/>
          <w:szCs w:val="24"/>
        </w:rPr>
        <w:t xml:space="preserve"> and Shafir 2011). Effortful products are unconsciously linked with higher quality (Kruger et al. 2004; Johnson and Gallagher 2010), and when an attribute is hard to evaluate, such as a company’s true sustainability, perceived environmental effort serves as a heuristic signal of credibility (Kruger et al. 2004). Consumers also reward companies that appear to exert extra effort and feel stronger moral emotions, such as gratitude, toward them (Morales 2005). Effort therefore functions as a moral cue, signaling prosocial intent and strengthening sustainability judgments (Langan and Kumar 2019; Utgård and Gaustad 2024).</w:t>
      </w:r>
    </w:p>
    <w:p w14:paraId="05B20D2C" w14:textId="77777777" w:rsidR="00932051" w:rsidRDefault="00525931">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Conversely, traditional additions may be read as evidence of insufficient effort toward sustainability, or as a further persuasive attempt to increase sales with no consideration for the environment, undermining perceptions of commitment. On this basis, we hypothesize the following:</w:t>
      </w:r>
    </w:p>
    <w:p w14:paraId="05B20D2D" w14:textId="09193F39" w:rsidR="00932051" w:rsidRDefault="00525931" w:rsidP="000460EB">
      <w:pPr>
        <w:spacing w:after="0" w:line="480" w:lineRule="auto"/>
        <w:ind w:left="540" w:hanging="54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H</w:t>
      </w:r>
      <w:proofErr w:type="gramStart"/>
      <w:r>
        <w:rPr>
          <w:rFonts w:ascii="Times New Roman" w:eastAsia="Times New Roman" w:hAnsi="Times New Roman" w:cs="Times New Roman"/>
          <w:b/>
          <w:bCs/>
          <w:color w:val="000000"/>
          <w:sz w:val="24"/>
          <w:szCs w:val="24"/>
        </w:rPr>
        <w:t>2</w:t>
      </w:r>
      <w:r w:rsidR="00056E5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Perceived</w:t>
      </w:r>
      <w:proofErr w:type="gramEnd"/>
      <w:r>
        <w:rPr>
          <w:rFonts w:ascii="Times New Roman" w:eastAsia="Times New Roman" w:hAnsi="Times New Roman" w:cs="Times New Roman"/>
          <w:color w:val="000000"/>
          <w:sz w:val="24"/>
          <w:szCs w:val="24"/>
        </w:rPr>
        <w:t xml:space="preserve"> environmental effort drives the effect of sustainable additive bias, such that adding </w:t>
      </w:r>
      <w:r>
        <w:rPr>
          <w:rFonts w:ascii="Times New Roman" w:eastAsia="Times New Roman" w:hAnsi="Times New Roman" w:cs="Times New Roman"/>
          <w:sz w:val="24"/>
          <w:szCs w:val="24"/>
        </w:rPr>
        <w:t>eco-friendly components to an offering increases a company's perceived environmental effort and, in turn, positively affects judgments of its sustainability.</w:t>
      </w:r>
    </w:p>
    <w:p w14:paraId="05B20D2E" w14:textId="77777777" w:rsidR="00932051" w:rsidRDefault="00932051">
      <w:pPr>
        <w:spacing w:after="0" w:line="480" w:lineRule="auto"/>
        <w:jc w:val="both"/>
        <w:rPr>
          <w:rFonts w:ascii="Times New Roman" w:eastAsia="Times New Roman" w:hAnsi="Times New Roman" w:cs="Times New Roman"/>
          <w:sz w:val="24"/>
          <w:szCs w:val="24"/>
        </w:rPr>
      </w:pPr>
    </w:p>
    <w:p w14:paraId="05B20D2F" w14:textId="77777777" w:rsidR="00932051" w:rsidRDefault="00525931">
      <w:pPr>
        <w:spacing w:line="480" w:lineRule="auto"/>
        <w:jc w:val="both"/>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28"/>
          <w:szCs w:val="28"/>
        </w:rPr>
        <w:t>Prototypicality can mitigate the sustainable additive bias</w:t>
      </w:r>
    </w:p>
    <w:p w14:paraId="05B20D30" w14:textId="77777777" w:rsidR="00932051" w:rsidRDefault="00525931">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 important mitigating effect may emerge from this theorizing: the extent to which the components in an offer are perceived as representative of sustainability. Certain items are more strongly associated with sustainability because they are seen as representative of “going green.” </w:t>
      </w:r>
    </w:p>
    <w:p w14:paraId="05B20D31"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Prototypicality is a cognitive categorization mechanism defined as the extent to which an object is representative of a category (Barsalou 1985). Consumers mentally organize product categories into graded structures, ranging from clear prototypes to ambiguous cases. Prototypical products are more easily recognized and classified and therefore tend to be the first examples that come to mind within a category (Carson et al. 2007). Some products, services, </w:t>
      </w:r>
      <w:r>
        <w:rPr>
          <w:rFonts w:ascii="Times New Roman" w:eastAsia="Times New Roman" w:hAnsi="Times New Roman" w:cs="Times New Roman"/>
          <w:color w:val="000000"/>
          <w:sz w:val="24"/>
          <w:szCs w:val="24"/>
        </w:rPr>
        <w:lastRenderedPageBreak/>
        <w:t xml:space="preserve">or actions have become prototypical of environmental sustainability because they are frequently featured in policy, media, and public discourse, such as </w:t>
      </w:r>
      <w:r>
        <w:rPr>
          <w:rFonts w:ascii="Times New Roman" w:eastAsia="Times New Roman" w:hAnsi="Times New Roman" w:cs="Times New Roman"/>
          <w:sz w:val="24"/>
          <w:szCs w:val="24"/>
        </w:rPr>
        <w:t xml:space="preserve">refillable (vs. single-use) water bottles or paper (vs. plastic) bags, are likely to serve as strong representations of environmental sustainability (Elmor et al. 2024). When companies incorporate such highly prototypical sustainability cues, consumers may infer that the company or offering is more environmentally conscious. </w:t>
      </w:r>
    </w:p>
    <w:p w14:paraId="05B20D32"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Prototypical items can also have a downside (Fella and </w:t>
      </w:r>
      <w:proofErr w:type="spellStart"/>
      <w:r>
        <w:rPr>
          <w:rFonts w:ascii="Times New Roman" w:eastAsia="Times New Roman" w:hAnsi="Times New Roman" w:cs="Times New Roman"/>
          <w:sz w:val="24"/>
          <w:szCs w:val="24"/>
        </w:rPr>
        <w:t>Bausa</w:t>
      </w:r>
      <w:proofErr w:type="spellEnd"/>
      <w:r>
        <w:rPr>
          <w:rFonts w:ascii="Times New Roman" w:eastAsia="Times New Roman" w:hAnsi="Times New Roman" w:cs="Times New Roman"/>
          <w:sz w:val="24"/>
          <w:szCs w:val="24"/>
        </w:rPr>
        <w:t xml:space="preserve"> 2024): they may be perceived as generic or even as greenwashing, particularly by informed consumers, who may prefer sustainability elements tailored to the consumption situation over broadly recognized cues. In personal care, for example, a reusable tote bag is a prototypical cue, but a refillable care kit could be more useful and relevant. </w:t>
      </w:r>
    </w:p>
    <w:p w14:paraId="05B20D33" w14:textId="77777777" w:rsidR="00932051" w:rsidRDefault="00525931">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Despite this potential caveat, in contexts where only a few sustainability cues are present, prototypical components may be more likely to activate category-based inference. This occurs because prototypical cues activate the broader concept of sustainability, triggering a category-based inference that does not rely on the number or diversity of cues present: the strength of the prototype compensates for the absence of other eco-friendly cues, shaping perceptions through category-based inference rather than item-counting. Accordingly, judgments of environmental sustainability may increase when the sustainability of offerings is made more obvious through the</w:t>
      </w:r>
      <w:r>
        <w:rPr>
          <w:rFonts w:ascii="Times New Roman" w:eastAsia="Times New Roman" w:hAnsi="Times New Roman" w:cs="Times New Roman"/>
          <w:color w:val="000000"/>
          <w:sz w:val="24"/>
          <w:szCs w:val="24"/>
        </w:rPr>
        <w:t xml:space="preserve"> inclusion</w:t>
      </w:r>
      <w:r>
        <w:rPr>
          <w:rFonts w:ascii="Times New Roman" w:eastAsia="Times New Roman" w:hAnsi="Times New Roman" w:cs="Times New Roman"/>
          <w:sz w:val="24"/>
          <w:szCs w:val="24"/>
        </w:rPr>
        <w:t xml:space="preserve"> of prototypical components. When components are subtracted, a highly prototypical cue that remains present in the offering can compensate for the reduced number of cues and sustain a sustainability inference; this is the effect we test in Study 8. Consequently, when deciding which component to remove or add, consumers and firms can rely on prototypicality to make sure the offer includes the item that best signals sustainability, retaining the prototypical cue under subtraction and adding it under addition; this is what we examine in Study 9. More formally:</w:t>
      </w:r>
    </w:p>
    <w:p w14:paraId="05B20D34" w14:textId="289B13D9" w:rsidR="00932051" w:rsidRDefault="00525931" w:rsidP="000460EB">
      <w:pPr>
        <w:spacing w:after="0" w:line="480" w:lineRule="auto"/>
        <w:ind w:left="540" w:hanging="5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H</w:t>
      </w:r>
      <w:proofErr w:type="gramStart"/>
      <w:r>
        <w:rPr>
          <w:rFonts w:ascii="Times New Roman" w:eastAsia="Times New Roman" w:hAnsi="Times New Roman" w:cs="Times New Roman"/>
          <w:b/>
          <w:bCs/>
          <w:color w:val="000000"/>
          <w:sz w:val="24"/>
          <w:szCs w:val="24"/>
        </w:rPr>
        <w:t>3</w:t>
      </w:r>
      <w:r w:rsidR="00056E5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Prototypicality</w:t>
      </w:r>
      <w:proofErr w:type="gramEnd"/>
      <w:r>
        <w:rPr>
          <w:rFonts w:ascii="Times New Roman" w:eastAsia="Times New Roman" w:hAnsi="Times New Roman" w:cs="Times New Roman"/>
          <w:color w:val="000000"/>
          <w:sz w:val="24"/>
          <w:szCs w:val="24"/>
        </w:rPr>
        <w:t xml:space="preserve"> can mitigate the effect of sustainable additive bias on sustainability judgments; in subtractive conditions, high</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prototypicality in an ecofriendly component can increase the perception of sustainability despite there being fewer sustainable components.</w:t>
      </w:r>
    </w:p>
    <w:p w14:paraId="05B20D38" w14:textId="77777777" w:rsidR="00932051" w:rsidRDefault="00932051" w:rsidP="00F1304B">
      <w:pPr>
        <w:spacing w:line="480" w:lineRule="auto"/>
        <w:rPr>
          <w:rFonts w:ascii="Times New Roman" w:eastAsia="Times New Roman" w:hAnsi="Times New Roman" w:cs="Times New Roman"/>
          <w:sz w:val="24"/>
          <w:szCs w:val="24"/>
        </w:rPr>
      </w:pPr>
    </w:p>
    <w:p w14:paraId="05B20D3A" w14:textId="0AD6980E" w:rsidR="00932051" w:rsidRPr="00F1304B" w:rsidRDefault="00525931" w:rsidP="00F1304B">
      <w:pPr>
        <w:spacing w:line="480" w:lineRule="auto"/>
        <w:jc w:val="center"/>
      </w:pPr>
      <w:r>
        <w:rPr>
          <w:noProof/>
        </w:rPr>
        <w:drawing>
          <wp:inline distT="0" distB="0" distL="0" distR="0" wp14:anchorId="05B20E93" wp14:editId="05B20E94">
            <wp:extent cx="5657578" cy="214597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657578" cy="2145978"/>
                    </a:xfrm>
                    <a:prstGeom prst="rect">
                      <a:avLst/>
                    </a:prstGeom>
                    <a:ln/>
                  </pic:spPr>
                </pic:pic>
              </a:graphicData>
            </a:graphic>
          </wp:inline>
        </w:drawing>
      </w:r>
    </w:p>
    <w:p w14:paraId="05B20D3B" w14:textId="77514DA0"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Fig</w:t>
      </w:r>
      <w:r w:rsidR="00991C31">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1 </w:t>
      </w:r>
      <w:r w:rsidRPr="00F1304B">
        <w:rPr>
          <w:rFonts w:ascii="Times New Roman" w:eastAsia="Times New Roman" w:hAnsi="Times New Roman" w:cs="Times New Roman"/>
          <w:sz w:val="24"/>
          <w:szCs w:val="24"/>
        </w:rPr>
        <w:t>Conceptual model of the sustainable additive bias</w:t>
      </w:r>
    </w:p>
    <w:p w14:paraId="16F47855" w14:textId="77777777" w:rsidR="00F1304B" w:rsidRPr="00F1304B" w:rsidRDefault="00F1304B">
      <w:pPr>
        <w:spacing w:after="0" w:line="480" w:lineRule="auto"/>
        <w:jc w:val="both"/>
        <w:rPr>
          <w:rFonts w:ascii="Times New Roman" w:eastAsia="Times New Roman" w:hAnsi="Times New Roman" w:cs="Times New Roman"/>
          <w:sz w:val="24"/>
          <w:szCs w:val="24"/>
        </w:rPr>
      </w:pPr>
    </w:p>
    <w:p w14:paraId="05B20D3C" w14:textId="77777777" w:rsidR="00932051" w:rsidRDefault="00525931">
      <w:pPr>
        <w:spacing w:line="48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Overview of the studies</w:t>
      </w:r>
    </w:p>
    <w:p w14:paraId="05B20D3D"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Figure 1 summarizes the conceptual model that integrates our hypotheses: additive (vs. subtractive) sustainability actions raise perceived environmental effort, which in turn drives sustainability judgment and downstream preference, with component type and cue prototypicality acting as boundary conditions. We report nine experimental studies. H1 specifies a moderated prediction, in which the effect of adding vs. subtracting components depends on component type. We test it in stages: Studies 1 and 2 isolate the additive-versus-subtractive comparison within eco-friendly components, providing evidence for one part of H1, whereas Studies 3 onward cross component type with the additive-versus-subtractive manipulation to deliver the full test of the interaction, including the reversal for traditional components. Study 1 establishes the sustainable additive bias, and Study 2 replicates it in the </w:t>
      </w:r>
      <w:r>
        <w:rPr>
          <w:rFonts w:ascii="Times New Roman" w:eastAsia="Times New Roman" w:hAnsi="Times New Roman" w:cs="Times New Roman"/>
          <w:color w:val="000000"/>
          <w:sz w:val="24"/>
          <w:szCs w:val="24"/>
        </w:rPr>
        <w:lastRenderedPageBreak/>
        <w:t>field, where additive services waste more even though they are judged more sustainable. Studies 3 to 5 confirm the reversal, with added traditional components lowering perceived sustainability. Studies 6 and 7 show the bias is driven by perceived corporate environmental effort (H2), and Studies 8 and 9 show it is reduced by sustainability prototypicality (H3).</w:t>
      </w:r>
    </w:p>
    <w:p w14:paraId="05B20D3E" w14:textId="77777777" w:rsidR="00932051" w:rsidRDefault="00525931">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online samples were collected from Prolific Academic (hereafter </w:t>
      </w:r>
      <w:proofErr w:type="spellStart"/>
      <w:r>
        <w:rPr>
          <w:rFonts w:ascii="Times New Roman" w:eastAsia="Times New Roman" w:hAnsi="Times New Roman" w:cs="Times New Roman"/>
          <w:color w:val="000000"/>
          <w:sz w:val="24"/>
          <w:szCs w:val="24"/>
        </w:rPr>
        <w:t>ProA</w:t>
      </w:r>
      <w:proofErr w:type="spellEnd"/>
      <w:r>
        <w:rPr>
          <w:rFonts w:ascii="Times New Roman" w:eastAsia="Times New Roman" w:hAnsi="Times New Roman" w:cs="Times New Roman"/>
          <w:color w:val="000000"/>
          <w:sz w:val="24"/>
          <w:szCs w:val="24"/>
        </w:rPr>
        <w:t>), considered superior to comparable services (Peer et al. 2017); Study 2 presents field data from hotel customers in Europe, and Study 9 was conducted with students from a large European business school. Gender and age were recorded throughout. Products and services that were added or removed were presented as eco-friendly by adjusting colors, materials, and labels, informed by the sustainability literature and real-world practice. All studies were pre-registered and received ethical approval from the authors’ institutions, and Likert scales were seven-point ascending scales unless otherwise stated. Table 2 summarizes the studies and the hypotheses tested.</w:t>
      </w:r>
    </w:p>
    <w:p w14:paraId="05B20D40" w14:textId="2A563D14" w:rsidR="00932051" w:rsidRDefault="00932051">
      <w:pPr>
        <w:spacing w:after="0" w:line="480" w:lineRule="auto"/>
        <w:jc w:val="center"/>
        <w:rPr>
          <w:rFonts w:ascii="Times New Roman" w:eastAsia="Times New Roman" w:hAnsi="Times New Roman" w:cs="Times New Roman"/>
          <w:i/>
          <w:iCs/>
          <w:color w:val="000000"/>
          <w:sz w:val="24"/>
          <w:szCs w:val="24"/>
        </w:rPr>
      </w:pPr>
    </w:p>
    <w:p w14:paraId="35603324" w14:textId="46CBCE0E" w:rsidR="00B94754" w:rsidRPr="00B94754" w:rsidRDefault="00B94754" w:rsidP="00B94754">
      <w:pPr>
        <w:spacing w:before="240" w:line="48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24"/>
          <w:szCs w:val="24"/>
        </w:rPr>
        <w:t xml:space="preserve">Table 2 </w:t>
      </w:r>
      <w:r w:rsidRPr="00B94754">
        <w:rPr>
          <w:rFonts w:ascii="Times New Roman" w:eastAsia="Times New Roman" w:hAnsi="Times New Roman" w:cs="Times New Roman"/>
          <w:color w:val="000000"/>
          <w:sz w:val="24"/>
          <w:szCs w:val="24"/>
        </w:rPr>
        <w:t>Summary of studies and hypotheses tested</w:t>
      </w:r>
      <w:r>
        <w:rPr>
          <w:rFonts w:ascii="Times New Roman" w:eastAsia="Times New Roman" w:hAnsi="Times New Roman" w:cs="Times New Roman"/>
          <w:color w:val="000000"/>
          <w:sz w:val="24"/>
          <w:szCs w:val="24"/>
        </w:rPr>
        <w:t xml:space="preserve"> </w:t>
      </w:r>
    </w:p>
    <w:tbl>
      <w:tblPr>
        <w:tblStyle w:val="a0"/>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985"/>
        <w:gridCol w:w="1193"/>
        <w:gridCol w:w="1305"/>
        <w:gridCol w:w="1297"/>
        <w:gridCol w:w="3280"/>
      </w:tblGrid>
      <w:tr w:rsidR="00932051" w14:paraId="05B20D46" w14:textId="77777777">
        <w:trPr>
          <w:trHeight w:val="540"/>
        </w:trPr>
        <w:tc>
          <w:tcPr>
            <w:tcW w:w="1985" w:type="dxa"/>
            <w:tcBorders>
              <w:top w:val="single" w:sz="4" w:space="0" w:color="000000"/>
              <w:bottom w:val="single" w:sz="4" w:space="0" w:color="000000"/>
            </w:tcBorders>
          </w:tcPr>
          <w:p w14:paraId="05B20D41" w14:textId="77777777" w:rsidR="00932051" w:rsidRDefault="00525931">
            <w:pPr>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Study</w:t>
            </w:r>
          </w:p>
        </w:tc>
        <w:tc>
          <w:tcPr>
            <w:tcW w:w="1193" w:type="dxa"/>
            <w:tcBorders>
              <w:top w:val="single" w:sz="4" w:space="0" w:color="000000"/>
              <w:bottom w:val="single" w:sz="4" w:space="0" w:color="000000"/>
            </w:tcBorders>
          </w:tcPr>
          <w:p w14:paraId="05B20D42" w14:textId="77777777" w:rsidR="00932051" w:rsidRDefault="00525931">
            <w:pPr>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Hypothesis tested</w:t>
            </w:r>
          </w:p>
        </w:tc>
        <w:tc>
          <w:tcPr>
            <w:tcW w:w="1305" w:type="dxa"/>
            <w:tcBorders>
              <w:top w:val="single" w:sz="4" w:space="0" w:color="000000"/>
              <w:bottom w:val="single" w:sz="4" w:space="0" w:color="000000"/>
            </w:tcBorders>
          </w:tcPr>
          <w:p w14:paraId="05B20D43" w14:textId="77777777" w:rsidR="00932051" w:rsidRDefault="00525931">
            <w:pPr>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Sample</w:t>
            </w:r>
          </w:p>
        </w:tc>
        <w:tc>
          <w:tcPr>
            <w:tcW w:w="1297" w:type="dxa"/>
            <w:tcBorders>
              <w:top w:val="single" w:sz="4" w:space="0" w:color="000000"/>
              <w:bottom w:val="single" w:sz="4" w:space="0" w:color="000000"/>
            </w:tcBorders>
          </w:tcPr>
          <w:p w14:paraId="05B20D44" w14:textId="77777777" w:rsidR="00932051" w:rsidRDefault="00525931">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Context</w:t>
            </w:r>
          </w:p>
        </w:tc>
        <w:tc>
          <w:tcPr>
            <w:tcW w:w="3280" w:type="dxa"/>
            <w:tcBorders>
              <w:top w:val="single" w:sz="4" w:space="0" w:color="000000"/>
              <w:bottom w:val="single" w:sz="4" w:space="0" w:color="000000"/>
            </w:tcBorders>
          </w:tcPr>
          <w:p w14:paraId="05B20D45" w14:textId="77777777" w:rsidR="00932051" w:rsidRDefault="00525931">
            <w:pPr>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Key findings</w:t>
            </w:r>
          </w:p>
        </w:tc>
      </w:tr>
      <w:tr w:rsidR="00932051" w14:paraId="05B20D4F" w14:textId="77777777">
        <w:trPr>
          <w:trHeight w:val="270"/>
        </w:trPr>
        <w:tc>
          <w:tcPr>
            <w:tcW w:w="1985" w:type="dxa"/>
            <w:tcBorders>
              <w:top w:val="single" w:sz="4" w:space="0" w:color="000000"/>
              <w:bottom w:val="single" w:sz="4" w:space="0" w:color="000000"/>
            </w:tcBorders>
          </w:tcPr>
          <w:p w14:paraId="05B20D47" w14:textId="77777777" w:rsidR="00932051" w:rsidRDefault="00525931">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Study 1 </w:t>
            </w:r>
          </w:p>
          <w:p w14:paraId="05B20D48" w14:textId="77777777" w:rsidR="00932051" w:rsidRDefault="00525931">
            <w:pP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Single factor (number of items: </w:t>
            </w:r>
            <w:r>
              <w:rPr>
                <w:rFonts w:ascii="Times New Roman" w:eastAsia="Times New Roman" w:hAnsi="Times New Roman" w:cs="Times New Roman"/>
                <w:color w:val="000000"/>
                <w:sz w:val="20"/>
                <w:szCs w:val="20"/>
              </w:rPr>
              <w:t>additive vs. subtractive) between-subjects</w:t>
            </w:r>
          </w:p>
          <w:p w14:paraId="05B20D49" w14:textId="77777777" w:rsidR="00932051" w:rsidRDefault="00525931">
            <w:pP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 xml:space="preserve"> </w:t>
            </w:r>
          </w:p>
        </w:tc>
        <w:tc>
          <w:tcPr>
            <w:tcW w:w="1193" w:type="dxa"/>
            <w:tcBorders>
              <w:top w:val="single" w:sz="4" w:space="0" w:color="000000"/>
              <w:bottom w:val="single" w:sz="4" w:space="0" w:color="000000"/>
            </w:tcBorders>
          </w:tcPr>
          <w:p w14:paraId="05B20D4A" w14:textId="77777777" w:rsidR="00932051" w:rsidRDefault="0052593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H1</w:t>
            </w:r>
          </w:p>
        </w:tc>
        <w:tc>
          <w:tcPr>
            <w:tcW w:w="1305" w:type="dxa"/>
            <w:tcBorders>
              <w:top w:val="single" w:sz="4" w:space="0" w:color="000000"/>
              <w:bottom w:val="single" w:sz="4" w:space="0" w:color="000000"/>
            </w:tcBorders>
          </w:tcPr>
          <w:p w14:paraId="05B20D4B"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200 UK participants, </w:t>
            </w:r>
            <w:proofErr w:type="spellStart"/>
            <w:r>
              <w:rPr>
                <w:rFonts w:ascii="Times New Roman" w:eastAsia="Times New Roman" w:hAnsi="Times New Roman" w:cs="Times New Roman"/>
                <w:sz w:val="20"/>
                <w:szCs w:val="20"/>
              </w:rPr>
              <w:t>ProA</w:t>
            </w:r>
            <w:proofErr w:type="spellEnd"/>
          </w:p>
        </w:tc>
        <w:tc>
          <w:tcPr>
            <w:tcW w:w="1297" w:type="dxa"/>
            <w:tcBorders>
              <w:top w:val="single" w:sz="4" w:space="0" w:color="000000"/>
              <w:bottom w:val="single" w:sz="4" w:space="0" w:color="000000"/>
            </w:tcBorders>
          </w:tcPr>
          <w:p w14:paraId="05B20D4C"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Hotel</w:t>
            </w:r>
          </w:p>
        </w:tc>
        <w:tc>
          <w:tcPr>
            <w:tcW w:w="3280" w:type="dxa"/>
            <w:tcBorders>
              <w:top w:val="single" w:sz="4" w:space="0" w:color="000000"/>
              <w:bottom w:val="single" w:sz="4" w:space="0" w:color="000000"/>
            </w:tcBorders>
          </w:tcPr>
          <w:p w14:paraId="05B20D4D"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Consumers rank additive eco-friendly rooms as more sustainable than subtractive eco-friendly rooms.</w:t>
            </w:r>
          </w:p>
          <w:p w14:paraId="05B20D4E" w14:textId="77777777" w:rsidR="00932051" w:rsidRDefault="0052593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c>
      </w:tr>
      <w:tr w:rsidR="00932051" w14:paraId="05B20D58" w14:textId="77777777">
        <w:trPr>
          <w:trHeight w:val="270"/>
        </w:trPr>
        <w:tc>
          <w:tcPr>
            <w:tcW w:w="1985" w:type="dxa"/>
            <w:tcBorders>
              <w:top w:val="single" w:sz="4" w:space="0" w:color="000000"/>
              <w:bottom w:val="single" w:sz="4" w:space="0" w:color="000000"/>
            </w:tcBorders>
          </w:tcPr>
          <w:p w14:paraId="05B20D50" w14:textId="77777777" w:rsidR="00932051" w:rsidRDefault="00525931">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Study 2 </w:t>
            </w:r>
          </w:p>
          <w:p w14:paraId="05B20D51" w14:textId="77777777" w:rsidR="00932051" w:rsidRDefault="00525931">
            <w:pP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Single factor (number of items: </w:t>
            </w:r>
            <w:r>
              <w:rPr>
                <w:rFonts w:ascii="Times New Roman" w:eastAsia="Times New Roman" w:hAnsi="Times New Roman" w:cs="Times New Roman"/>
                <w:color w:val="000000"/>
                <w:sz w:val="20"/>
                <w:szCs w:val="20"/>
              </w:rPr>
              <w:t>additive vs. subtractive vs. control) between-subjects</w:t>
            </w:r>
          </w:p>
          <w:p w14:paraId="05B20D52" w14:textId="77777777" w:rsidR="00932051" w:rsidRDefault="00932051">
            <w:pPr>
              <w:rPr>
                <w:rFonts w:ascii="Times New Roman" w:eastAsia="Times New Roman" w:hAnsi="Times New Roman" w:cs="Times New Roman"/>
                <w:b/>
                <w:bCs/>
                <w:sz w:val="20"/>
                <w:szCs w:val="20"/>
              </w:rPr>
            </w:pPr>
          </w:p>
        </w:tc>
        <w:tc>
          <w:tcPr>
            <w:tcW w:w="1193" w:type="dxa"/>
            <w:tcBorders>
              <w:top w:val="single" w:sz="4" w:space="0" w:color="000000"/>
              <w:bottom w:val="single" w:sz="4" w:space="0" w:color="000000"/>
            </w:tcBorders>
          </w:tcPr>
          <w:p w14:paraId="05B20D53" w14:textId="77777777" w:rsidR="00932051" w:rsidRDefault="0052593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H1</w:t>
            </w:r>
          </w:p>
        </w:tc>
        <w:tc>
          <w:tcPr>
            <w:tcW w:w="1305" w:type="dxa"/>
            <w:tcBorders>
              <w:top w:val="single" w:sz="4" w:space="0" w:color="000000"/>
              <w:bottom w:val="single" w:sz="4" w:space="0" w:color="000000"/>
            </w:tcBorders>
          </w:tcPr>
          <w:p w14:paraId="05B20D54"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302 international customers of a hotel</w:t>
            </w:r>
          </w:p>
          <w:p w14:paraId="05B20D55"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97" w:type="dxa"/>
            <w:tcBorders>
              <w:top w:val="single" w:sz="4" w:space="0" w:color="000000"/>
              <w:bottom w:val="single" w:sz="4" w:space="0" w:color="000000"/>
            </w:tcBorders>
          </w:tcPr>
          <w:p w14:paraId="05B20D56"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Hotel</w:t>
            </w:r>
          </w:p>
        </w:tc>
        <w:tc>
          <w:tcPr>
            <w:tcW w:w="3280" w:type="dxa"/>
            <w:tcBorders>
              <w:top w:val="single" w:sz="4" w:space="0" w:color="000000"/>
              <w:bottom w:val="single" w:sz="4" w:space="0" w:color="000000"/>
            </w:tcBorders>
          </w:tcPr>
          <w:p w14:paraId="05B20D57"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Consumers generate less waste in the subtractive condition than the additive one, but judge the additive condition as more sustainable. </w:t>
            </w:r>
          </w:p>
        </w:tc>
      </w:tr>
      <w:tr w:rsidR="00932051" w14:paraId="05B20D64" w14:textId="77777777">
        <w:trPr>
          <w:trHeight w:val="270"/>
        </w:trPr>
        <w:tc>
          <w:tcPr>
            <w:tcW w:w="1985" w:type="dxa"/>
            <w:tcBorders>
              <w:top w:val="single" w:sz="4" w:space="0" w:color="000000"/>
              <w:bottom w:val="single" w:sz="4" w:space="0" w:color="000000"/>
            </w:tcBorders>
          </w:tcPr>
          <w:p w14:paraId="05B20D59" w14:textId="77777777" w:rsidR="00932051" w:rsidRDefault="00525931">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Study 3 </w:t>
            </w:r>
          </w:p>
          <w:p w14:paraId="05B20D5A" w14:textId="77777777" w:rsidR="00932051" w:rsidRDefault="0052593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Single factor (item type: eco-friendly vs. traditional) between-subjects</w:t>
            </w:r>
          </w:p>
          <w:p w14:paraId="05B20D5B" w14:textId="77777777" w:rsidR="00932051" w:rsidRDefault="0052593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p w14:paraId="05B20D5C" w14:textId="77777777" w:rsidR="00932051" w:rsidRDefault="00932051">
            <w:pPr>
              <w:rPr>
                <w:rFonts w:ascii="Times New Roman" w:eastAsia="Times New Roman" w:hAnsi="Times New Roman" w:cs="Times New Roman"/>
                <w:b/>
                <w:bCs/>
                <w:sz w:val="20"/>
                <w:szCs w:val="20"/>
              </w:rPr>
            </w:pPr>
          </w:p>
        </w:tc>
        <w:tc>
          <w:tcPr>
            <w:tcW w:w="1193" w:type="dxa"/>
            <w:tcBorders>
              <w:top w:val="single" w:sz="4" w:space="0" w:color="000000"/>
              <w:bottom w:val="single" w:sz="4" w:space="0" w:color="000000"/>
            </w:tcBorders>
          </w:tcPr>
          <w:p w14:paraId="05B20D5D" w14:textId="77777777" w:rsidR="00932051" w:rsidRDefault="0052593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H1</w:t>
            </w:r>
          </w:p>
          <w:p w14:paraId="05B20D5E" w14:textId="77777777" w:rsidR="00932051" w:rsidRDefault="00932051">
            <w:pPr>
              <w:jc w:val="center"/>
              <w:rPr>
                <w:rFonts w:ascii="Times New Roman" w:eastAsia="Times New Roman" w:hAnsi="Times New Roman" w:cs="Times New Roman"/>
                <w:sz w:val="20"/>
                <w:szCs w:val="20"/>
              </w:rPr>
            </w:pPr>
          </w:p>
        </w:tc>
        <w:tc>
          <w:tcPr>
            <w:tcW w:w="1305" w:type="dxa"/>
            <w:tcBorders>
              <w:top w:val="single" w:sz="4" w:space="0" w:color="000000"/>
              <w:bottom w:val="single" w:sz="4" w:space="0" w:color="000000"/>
            </w:tcBorders>
          </w:tcPr>
          <w:p w14:paraId="05B20D5F"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400 UK participants, </w:t>
            </w:r>
            <w:proofErr w:type="spellStart"/>
            <w:r>
              <w:rPr>
                <w:rFonts w:ascii="Times New Roman" w:eastAsia="Times New Roman" w:hAnsi="Times New Roman" w:cs="Times New Roman"/>
                <w:sz w:val="20"/>
                <w:szCs w:val="20"/>
              </w:rPr>
              <w:t>ProA</w:t>
            </w:r>
            <w:proofErr w:type="spellEnd"/>
            <w:r>
              <w:rPr>
                <w:rFonts w:ascii="Times New Roman" w:eastAsia="Times New Roman" w:hAnsi="Times New Roman" w:cs="Times New Roman"/>
                <w:sz w:val="20"/>
                <w:szCs w:val="20"/>
              </w:rPr>
              <w:t xml:space="preserve"> </w:t>
            </w:r>
          </w:p>
          <w:p w14:paraId="05B20D60"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97" w:type="dxa"/>
            <w:tcBorders>
              <w:top w:val="single" w:sz="4" w:space="0" w:color="000000"/>
              <w:bottom w:val="single" w:sz="4" w:space="0" w:color="000000"/>
            </w:tcBorders>
          </w:tcPr>
          <w:p w14:paraId="05B20D61"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Hotel</w:t>
            </w:r>
          </w:p>
        </w:tc>
        <w:tc>
          <w:tcPr>
            <w:tcW w:w="3280" w:type="dxa"/>
            <w:tcBorders>
              <w:top w:val="single" w:sz="4" w:space="0" w:color="000000"/>
              <w:bottom w:val="single" w:sz="4" w:space="0" w:color="000000"/>
            </w:tcBorders>
          </w:tcPr>
          <w:p w14:paraId="05B20D62" w14:textId="77777777" w:rsidR="00932051" w:rsidRDefault="0052593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When asked to choose the most sustainable option, consumers indicate the solutions in which traditional components are subtracted or eco-friendly components are added.  </w:t>
            </w:r>
          </w:p>
          <w:p w14:paraId="05B20D63" w14:textId="77777777" w:rsidR="00932051" w:rsidRDefault="00932051">
            <w:pPr>
              <w:rPr>
                <w:rFonts w:ascii="Times New Roman" w:eastAsia="Times New Roman" w:hAnsi="Times New Roman" w:cs="Times New Roman"/>
                <w:sz w:val="20"/>
                <w:szCs w:val="20"/>
              </w:rPr>
            </w:pPr>
          </w:p>
        </w:tc>
      </w:tr>
      <w:tr w:rsidR="00932051" w14:paraId="05B20D6C" w14:textId="77777777">
        <w:trPr>
          <w:trHeight w:val="270"/>
        </w:trPr>
        <w:tc>
          <w:tcPr>
            <w:tcW w:w="1985" w:type="dxa"/>
            <w:tcBorders>
              <w:top w:val="single" w:sz="4" w:space="0" w:color="000000"/>
              <w:bottom w:val="single" w:sz="4" w:space="0" w:color="000000"/>
            </w:tcBorders>
          </w:tcPr>
          <w:p w14:paraId="05B20D65" w14:textId="77777777" w:rsidR="00932051" w:rsidRDefault="00525931">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 xml:space="preserve">Study 4 </w:t>
            </w:r>
          </w:p>
          <w:p w14:paraId="05B20D66" w14:textId="77777777" w:rsidR="00932051" w:rsidRDefault="00525931">
            <w:pP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2 </w:t>
            </w:r>
            <w:r>
              <w:rPr>
                <w:rFonts w:ascii="Times New Roman" w:eastAsia="Times New Roman" w:hAnsi="Times New Roman" w:cs="Times New Roman"/>
                <w:color w:val="000000"/>
                <w:sz w:val="20"/>
                <w:szCs w:val="20"/>
              </w:rPr>
              <w:t xml:space="preserve">(number of items: additive vs. subtractive) × 2 (item type: eco-friendly vs. traditional) between-subjects </w:t>
            </w:r>
          </w:p>
          <w:p w14:paraId="05B20D67" w14:textId="77777777" w:rsidR="00932051" w:rsidRDefault="00932051">
            <w:pPr>
              <w:rPr>
                <w:rFonts w:ascii="Times New Roman" w:eastAsia="Times New Roman" w:hAnsi="Times New Roman" w:cs="Times New Roman"/>
                <w:color w:val="000000"/>
                <w:sz w:val="20"/>
                <w:szCs w:val="20"/>
              </w:rPr>
            </w:pPr>
          </w:p>
        </w:tc>
        <w:tc>
          <w:tcPr>
            <w:tcW w:w="1193" w:type="dxa"/>
            <w:tcBorders>
              <w:top w:val="single" w:sz="4" w:space="0" w:color="000000"/>
              <w:bottom w:val="single" w:sz="4" w:space="0" w:color="000000"/>
            </w:tcBorders>
          </w:tcPr>
          <w:p w14:paraId="05B20D68" w14:textId="77777777" w:rsidR="00932051" w:rsidRDefault="0052593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H1</w:t>
            </w:r>
          </w:p>
        </w:tc>
        <w:tc>
          <w:tcPr>
            <w:tcW w:w="1305" w:type="dxa"/>
            <w:tcBorders>
              <w:top w:val="single" w:sz="4" w:space="0" w:color="000000"/>
              <w:bottom w:val="single" w:sz="4" w:space="0" w:color="000000"/>
            </w:tcBorders>
          </w:tcPr>
          <w:p w14:paraId="05B20D69"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401 UK participants, </w:t>
            </w:r>
            <w:proofErr w:type="spellStart"/>
            <w:r>
              <w:rPr>
                <w:rFonts w:ascii="Times New Roman" w:eastAsia="Times New Roman" w:hAnsi="Times New Roman" w:cs="Times New Roman"/>
                <w:sz w:val="20"/>
                <w:szCs w:val="20"/>
              </w:rPr>
              <w:t>ProA</w:t>
            </w:r>
            <w:proofErr w:type="spellEnd"/>
          </w:p>
        </w:tc>
        <w:tc>
          <w:tcPr>
            <w:tcW w:w="1297" w:type="dxa"/>
            <w:tcBorders>
              <w:top w:val="single" w:sz="4" w:space="0" w:color="000000"/>
              <w:bottom w:val="single" w:sz="4" w:space="0" w:color="000000"/>
            </w:tcBorders>
          </w:tcPr>
          <w:p w14:paraId="05B20D6A"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Hotel</w:t>
            </w:r>
          </w:p>
        </w:tc>
        <w:tc>
          <w:tcPr>
            <w:tcW w:w="3280" w:type="dxa"/>
            <w:tcBorders>
              <w:top w:val="single" w:sz="4" w:space="0" w:color="000000"/>
              <w:bottom w:val="single" w:sz="4" w:space="0" w:color="000000"/>
            </w:tcBorders>
          </w:tcPr>
          <w:p w14:paraId="05B20D6B" w14:textId="77777777" w:rsidR="00932051" w:rsidRDefault="0052593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 a sustainability ranking, the subtractive eco-friendly hotel ranks lower than the additive eco-friendly hotel. Conversely, for traditional hotels, the subtractive one ranks higher than the additive.</w:t>
            </w:r>
          </w:p>
        </w:tc>
      </w:tr>
      <w:tr w:rsidR="00932051" w14:paraId="05B20D75" w14:textId="77777777">
        <w:trPr>
          <w:trHeight w:val="270"/>
        </w:trPr>
        <w:tc>
          <w:tcPr>
            <w:tcW w:w="1985" w:type="dxa"/>
            <w:tcBorders>
              <w:bottom w:val="single" w:sz="4" w:space="0" w:color="000000"/>
            </w:tcBorders>
          </w:tcPr>
          <w:p w14:paraId="05B20D6D" w14:textId="77777777" w:rsidR="00932051" w:rsidRDefault="00525931">
            <w:pP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Study 5 </w:t>
            </w:r>
          </w:p>
          <w:p w14:paraId="05B20D6E" w14:textId="77777777" w:rsidR="00932051" w:rsidRDefault="0052593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(number of items: additive vs. subtractive) × 2 (item type: eco-friendly vs. traditional) between-subjects</w:t>
            </w:r>
          </w:p>
          <w:p w14:paraId="05B20D6F" w14:textId="77777777" w:rsidR="00932051" w:rsidRDefault="00932051">
            <w:pPr>
              <w:rPr>
                <w:rFonts w:ascii="Times New Roman" w:eastAsia="Times New Roman" w:hAnsi="Times New Roman" w:cs="Times New Roman"/>
                <w:color w:val="000000"/>
                <w:sz w:val="20"/>
                <w:szCs w:val="20"/>
              </w:rPr>
            </w:pPr>
          </w:p>
        </w:tc>
        <w:tc>
          <w:tcPr>
            <w:tcW w:w="1193" w:type="dxa"/>
            <w:tcBorders>
              <w:bottom w:val="single" w:sz="4" w:space="0" w:color="000000"/>
            </w:tcBorders>
          </w:tcPr>
          <w:p w14:paraId="05B20D70" w14:textId="77777777" w:rsidR="00932051" w:rsidRDefault="0052593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H1</w:t>
            </w:r>
          </w:p>
        </w:tc>
        <w:tc>
          <w:tcPr>
            <w:tcW w:w="1305" w:type="dxa"/>
            <w:tcBorders>
              <w:bottom w:val="single" w:sz="4" w:space="0" w:color="000000"/>
            </w:tcBorders>
          </w:tcPr>
          <w:p w14:paraId="05B20D71"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397 US participants, </w:t>
            </w:r>
            <w:proofErr w:type="spellStart"/>
            <w:r>
              <w:rPr>
                <w:rFonts w:ascii="Times New Roman" w:eastAsia="Times New Roman" w:hAnsi="Times New Roman" w:cs="Times New Roman"/>
                <w:sz w:val="20"/>
                <w:szCs w:val="20"/>
              </w:rPr>
              <w:t>ProA</w:t>
            </w:r>
            <w:proofErr w:type="spellEnd"/>
          </w:p>
        </w:tc>
        <w:tc>
          <w:tcPr>
            <w:tcW w:w="1297" w:type="dxa"/>
            <w:tcBorders>
              <w:bottom w:val="single" w:sz="4" w:space="0" w:color="000000"/>
            </w:tcBorders>
          </w:tcPr>
          <w:p w14:paraId="05B20D72"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Haircare summer sets</w:t>
            </w:r>
          </w:p>
        </w:tc>
        <w:tc>
          <w:tcPr>
            <w:tcW w:w="3280" w:type="dxa"/>
            <w:tcBorders>
              <w:bottom w:val="single" w:sz="4" w:space="0" w:color="000000"/>
            </w:tcBorders>
          </w:tcPr>
          <w:p w14:paraId="05B20D73" w14:textId="77777777" w:rsidR="00932051" w:rsidRDefault="0052593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For traditional offerings, reducing the number of items signals greater sustainability, but when the subtracted components are eco-friendly, such subtraction leads the offering to be judged as less sustainable.</w:t>
            </w:r>
          </w:p>
          <w:p w14:paraId="05B20D74" w14:textId="77777777" w:rsidR="00932051" w:rsidRDefault="00932051">
            <w:pPr>
              <w:rPr>
                <w:rFonts w:ascii="Times New Roman" w:eastAsia="Times New Roman" w:hAnsi="Times New Roman" w:cs="Times New Roman"/>
                <w:color w:val="000000"/>
                <w:sz w:val="20"/>
                <w:szCs w:val="20"/>
              </w:rPr>
            </w:pPr>
          </w:p>
        </w:tc>
      </w:tr>
      <w:tr w:rsidR="00932051" w14:paraId="05B20D80" w14:textId="77777777">
        <w:trPr>
          <w:trHeight w:val="270"/>
        </w:trPr>
        <w:tc>
          <w:tcPr>
            <w:tcW w:w="1985" w:type="dxa"/>
          </w:tcPr>
          <w:p w14:paraId="05B20D76" w14:textId="77777777" w:rsidR="00932051" w:rsidRDefault="00525931">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Study 6a </w:t>
            </w:r>
          </w:p>
          <w:p w14:paraId="05B20D77" w14:textId="77777777" w:rsidR="00932051" w:rsidRDefault="0052593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(number of items: additive vs. subtractive) × 2 (item type: eco-friendly vs. traditional) between-subjects</w:t>
            </w:r>
          </w:p>
          <w:p w14:paraId="05B20D78" w14:textId="77777777" w:rsidR="00932051" w:rsidRDefault="00932051">
            <w:pPr>
              <w:rPr>
                <w:rFonts w:ascii="Times New Roman" w:eastAsia="Times New Roman" w:hAnsi="Times New Roman" w:cs="Times New Roman"/>
                <w:b/>
                <w:bCs/>
                <w:color w:val="000000"/>
                <w:sz w:val="20"/>
                <w:szCs w:val="20"/>
              </w:rPr>
            </w:pPr>
          </w:p>
        </w:tc>
        <w:tc>
          <w:tcPr>
            <w:tcW w:w="1193" w:type="dxa"/>
          </w:tcPr>
          <w:p w14:paraId="05B20D79" w14:textId="77777777" w:rsidR="00932051" w:rsidRDefault="0052593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H1, H2</w:t>
            </w:r>
          </w:p>
          <w:p w14:paraId="05B20D7A" w14:textId="77777777" w:rsidR="00932051" w:rsidRDefault="00932051">
            <w:pPr>
              <w:jc w:val="center"/>
              <w:rPr>
                <w:rFonts w:ascii="Times New Roman" w:eastAsia="Times New Roman" w:hAnsi="Times New Roman" w:cs="Times New Roman"/>
                <w:sz w:val="20"/>
                <w:szCs w:val="20"/>
              </w:rPr>
            </w:pPr>
          </w:p>
        </w:tc>
        <w:tc>
          <w:tcPr>
            <w:tcW w:w="1305" w:type="dxa"/>
          </w:tcPr>
          <w:p w14:paraId="05B20D7B"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400 US participants, </w:t>
            </w:r>
            <w:proofErr w:type="spellStart"/>
            <w:r>
              <w:rPr>
                <w:rFonts w:ascii="Times New Roman" w:eastAsia="Times New Roman" w:hAnsi="Times New Roman" w:cs="Times New Roman"/>
                <w:sz w:val="20"/>
                <w:szCs w:val="20"/>
              </w:rPr>
              <w:t>ProA</w:t>
            </w:r>
            <w:proofErr w:type="spellEnd"/>
          </w:p>
          <w:p w14:paraId="05B20D7C" w14:textId="77777777" w:rsidR="00932051" w:rsidRDefault="00932051">
            <w:pPr>
              <w:rPr>
                <w:rFonts w:ascii="Times New Roman" w:eastAsia="Times New Roman" w:hAnsi="Times New Roman" w:cs="Times New Roman"/>
                <w:sz w:val="20"/>
                <w:szCs w:val="20"/>
              </w:rPr>
            </w:pPr>
          </w:p>
        </w:tc>
        <w:tc>
          <w:tcPr>
            <w:tcW w:w="1297" w:type="dxa"/>
          </w:tcPr>
          <w:p w14:paraId="05B20D7D"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Tea box </w:t>
            </w:r>
          </w:p>
          <w:p w14:paraId="05B20D7E" w14:textId="77777777" w:rsidR="00932051" w:rsidRDefault="00932051">
            <w:pPr>
              <w:rPr>
                <w:rFonts w:ascii="Times New Roman" w:eastAsia="Times New Roman" w:hAnsi="Times New Roman" w:cs="Times New Roman"/>
                <w:sz w:val="20"/>
                <w:szCs w:val="20"/>
              </w:rPr>
            </w:pPr>
          </w:p>
        </w:tc>
        <w:tc>
          <w:tcPr>
            <w:tcW w:w="3280" w:type="dxa"/>
          </w:tcPr>
          <w:p w14:paraId="05B20D7F" w14:textId="77777777" w:rsidR="00932051" w:rsidRDefault="0052593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For eco-friendly offerings, adding items signals greater perceived environmental effort, which positively affects sustainability judgments.</w:t>
            </w:r>
          </w:p>
        </w:tc>
      </w:tr>
      <w:tr w:rsidR="00932051" w14:paraId="05B20D8C" w14:textId="77777777">
        <w:trPr>
          <w:trHeight w:val="270"/>
        </w:trPr>
        <w:tc>
          <w:tcPr>
            <w:tcW w:w="1985" w:type="dxa"/>
            <w:tcBorders>
              <w:bottom w:val="single" w:sz="4" w:space="0" w:color="000000"/>
            </w:tcBorders>
          </w:tcPr>
          <w:p w14:paraId="05B20D81" w14:textId="77777777" w:rsidR="00932051" w:rsidRDefault="00525931">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Study 6b </w:t>
            </w:r>
          </w:p>
          <w:p w14:paraId="05B20D82" w14:textId="77777777" w:rsidR="00932051" w:rsidRDefault="0052593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(number of items: additive vs. subtractive) × 2 (item type: eco-friendly vs. traditional) between-subjects</w:t>
            </w:r>
          </w:p>
          <w:p w14:paraId="05B20D83" w14:textId="77777777" w:rsidR="00932051" w:rsidRDefault="00932051">
            <w:pPr>
              <w:rPr>
                <w:rFonts w:ascii="Times New Roman" w:eastAsia="Times New Roman" w:hAnsi="Times New Roman" w:cs="Times New Roman"/>
                <w:sz w:val="20"/>
                <w:szCs w:val="20"/>
              </w:rPr>
            </w:pPr>
          </w:p>
        </w:tc>
        <w:tc>
          <w:tcPr>
            <w:tcW w:w="1193" w:type="dxa"/>
            <w:tcBorders>
              <w:bottom w:val="single" w:sz="4" w:space="0" w:color="000000"/>
            </w:tcBorders>
          </w:tcPr>
          <w:p w14:paraId="05B20D84" w14:textId="77777777" w:rsidR="00932051" w:rsidRDefault="0052593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H1, H2</w:t>
            </w:r>
          </w:p>
          <w:p w14:paraId="05B20D85" w14:textId="77777777" w:rsidR="00932051" w:rsidRDefault="00932051">
            <w:pPr>
              <w:jc w:val="center"/>
              <w:rPr>
                <w:rFonts w:ascii="Times New Roman" w:eastAsia="Times New Roman" w:hAnsi="Times New Roman" w:cs="Times New Roman"/>
                <w:sz w:val="20"/>
                <w:szCs w:val="20"/>
              </w:rPr>
            </w:pPr>
          </w:p>
        </w:tc>
        <w:tc>
          <w:tcPr>
            <w:tcW w:w="1305" w:type="dxa"/>
            <w:tcBorders>
              <w:bottom w:val="single" w:sz="4" w:space="0" w:color="000000"/>
            </w:tcBorders>
          </w:tcPr>
          <w:p w14:paraId="05B20D86"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303 US participants, </w:t>
            </w:r>
            <w:proofErr w:type="spellStart"/>
            <w:r>
              <w:rPr>
                <w:rFonts w:ascii="Times New Roman" w:eastAsia="Times New Roman" w:hAnsi="Times New Roman" w:cs="Times New Roman"/>
                <w:sz w:val="20"/>
                <w:szCs w:val="20"/>
              </w:rPr>
              <w:t>ProA</w:t>
            </w:r>
            <w:proofErr w:type="spellEnd"/>
          </w:p>
          <w:p w14:paraId="05B20D87" w14:textId="77777777" w:rsidR="00932051" w:rsidRDefault="00932051">
            <w:pPr>
              <w:rPr>
                <w:rFonts w:ascii="Times New Roman" w:eastAsia="Times New Roman" w:hAnsi="Times New Roman" w:cs="Times New Roman"/>
                <w:sz w:val="20"/>
                <w:szCs w:val="20"/>
              </w:rPr>
            </w:pPr>
          </w:p>
          <w:p w14:paraId="05B20D88" w14:textId="77777777" w:rsidR="00932051" w:rsidRDefault="00932051">
            <w:pPr>
              <w:rPr>
                <w:rFonts w:ascii="Times New Roman" w:eastAsia="Times New Roman" w:hAnsi="Times New Roman" w:cs="Times New Roman"/>
                <w:sz w:val="20"/>
                <w:szCs w:val="20"/>
              </w:rPr>
            </w:pPr>
          </w:p>
        </w:tc>
        <w:tc>
          <w:tcPr>
            <w:tcW w:w="1297" w:type="dxa"/>
            <w:tcBorders>
              <w:bottom w:val="single" w:sz="4" w:space="0" w:color="000000"/>
            </w:tcBorders>
          </w:tcPr>
          <w:p w14:paraId="05B20D89"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event</w:t>
            </w:r>
          </w:p>
          <w:p w14:paraId="05B20D8A" w14:textId="77777777" w:rsidR="00932051" w:rsidRDefault="00932051">
            <w:pPr>
              <w:rPr>
                <w:rFonts w:ascii="Times New Roman" w:eastAsia="Times New Roman" w:hAnsi="Times New Roman" w:cs="Times New Roman"/>
                <w:sz w:val="20"/>
                <w:szCs w:val="20"/>
              </w:rPr>
            </w:pPr>
          </w:p>
        </w:tc>
        <w:tc>
          <w:tcPr>
            <w:tcW w:w="3280" w:type="dxa"/>
            <w:tcBorders>
              <w:bottom w:val="single" w:sz="4" w:space="0" w:color="000000"/>
            </w:tcBorders>
          </w:tcPr>
          <w:p w14:paraId="05B20D8B" w14:textId="77777777" w:rsidR="00932051" w:rsidRDefault="0052593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For eco-friendly offerings, perceived environmental effort drives sustainability judgment more strongly than perceived impact.</w:t>
            </w:r>
          </w:p>
        </w:tc>
      </w:tr>
      <w:tr w:rsidR="00932051" w14:paraId="05B20D94" w14:textId="77777777">
        <w:trPr>
          <w:trHeight w:val="270"/>
        </w:trPr>
        <w:tc>
          <w:tcPr>
            <w:tcW w:w="1985" w:type="dxa"/>
            <w:tcBorders>
              <w:top w:val="single" w:sz="4" w:space="0" w:color="000000"/>
              <w:bottom w:val="single" w:sz="4" w:space="0" w:color="000000"/>
            </w:tcBorders>
          </w:tcPr>
          <w:p w14:paraId="05B20D8D" w14:textId="77777777" w:rsidR="00932051" w:rsidRDefault="00525931">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Study 7</w:t>
            </w:r>
          </w:p>
          <w:p w14:paraId="05B20D8E" w14:textId="77777777" w:rsidR="00932051" w:rsidRDefault="0052593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(number of items: additive vs. subtractive) × 2 (effort: salient vs. absent) between-subjects</w:t>
            </w:r>
          </w:p>
          <w:p w14:paraId="05B20D8F" w14:textId="77777777" w:rsidR="00932051" w:rsidRDefault="00932051">
            <w:pPr>
              <w:rPr>
                <w:rFonts w:ascii="Times New Roman" w:eastAsia="Times New Roman" w:hAnsi="Times New Roman" w:cs="Times New Roman"/>
                <w:color w:val="000000"/>
                <w:sz w:val="20"/>
                <w:szCs w:val="20"/>
              </w:rPr>
            </w:pPr>
          </w:p>
        </w:tc>
        <w:tc>
          <w:tcPr>
            <w:tcW w:w="1193" w:type="dxa"/>
            <w:tcBorders>
              <w:top w:val="single" w:sz="4" w:space="0" w:color="000000"/>
              <w:bottom w:val="single" w:sz="4" w:space="0" w:color="000000"/>
            </w:tcBorders>
          </w:tcPr>
          <w:p w14:paraId="05B20D90" w14:textId="77777777" w:rsidR="00932051" w:rsidRDefault="0052593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H1, H2</w:t>
            </w:r>
          </w:p>
        </w:tc>
        <w:tc>
          <w:tcPr>
            <w:tcW w:w="1305" w:type="dxa"/>
            <w:tcBorders>
              <w:top w:val="single" w:sz="4" w:space="0" w:color="000000"/>
              <w:bottom w:val="single" w:sz="4" w:space="0" w:color="000000"/>
            </w:tcBorders>
          </w:tcPr>
          <w:p w14:paraId="05B20D91"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401 US participants, </w:t>
            </w:r>
            <w:proofErr w:type="spellStart"/>
            <w:r>
              <w:rPr>
                <w:rFonts w:ascii="Times New Roman" w:eastAsia="Times New Roman" w:hAnsi="Times New Roman" w:cs="Times New Roman"/>
                <w:sz w:val="20"/>
                <w:szCs w:val="20"/>
              </w:rPr>
              <w:t>ProA</w:t>
            </w:r>
            <w:proofErr w:type="spellEnd"/>
          </w:p>
        </w:tc>
        <w:tc>
          <w:tcPr>
            <w:tcW w:w="1297" w:type="dxa"/>
            <w:tcBorders>
              <w:top w:val="single" w:sz="4" w:space="0" w:color="000000"/>
              <w:bottom w:val="single" w:sz="4" w:space="0" w:color="000000"/>
            </w:tcBorders>
          </w:tcPr>
          <w:p w14:paraId="05B20D92"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Lunch set</w:t>
            </w:r>
          </w:p>
        </w:tc>
        <w:tc>
          <w:tcPr>
            <w:tcW w:w="3280" w:type="dxa"/>
            <w:tcBorders>
              <w:top w:val="single" w:sz="4" w:space="0" w:color="000000"/>
              <w:bottom w:val="single" w:sz="4" w:space="0" w:color="000000"/>
            </w:tcBorders>
          </w:tcPr>
          <w:p w14:paraId="05B20D93"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When people are directly informed about a company’s environmental effort, the sustainable addition bias disappears.</w:t>
            </w:r>
          </w:p>
        </w:tc>
      </w:tr>
      <w:tr w:rsidR="00932051" w14:paraId="05B20D9C" w14:textId="77777777">
        <w:trPr>
          <w:trHeight w:val="270"/>
        </w:trPr>
        <w:tc>
          <w:tcPr>
            <w:tcW w:w="1985" w:type="dxa"/>
            <w:tcBorders>
              <w:top w:val="single" w:sz="4" w:space="0" w:color="000000"/>
              <w:bottom w:val="single" w:sz="4" w:space="0" w:color="000000"/>
            </w:tcBorders>
          </w:tcPr>
          <w:p w14:paraId="05B20D95" w14:textId="77777777" w:rsidR="00932051" w:rsidRDefault="00525931">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Study 8</w:t>
            </w:r>
          </w:p>
          <w:p w14:paraId="05B20D96" w14:textId="77777777" w:rsidR="00932051" w:rsidRDefault="00525931">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(number of items: additive vs. subtractive) × 2 (prototypicality: low vs. high) between-subjects</w:t>
            </w:r>
          </w:p>
          <w:p w14:paraId="05B20D97" w14:textId="77777777" w:rsidR="00932051" w:rsidRDefault="00932051">
            <w:pPr>
              <w:rPr>
                <w:rFonts w:ascii="Times New Roman" w:eastAsia="Times New Roman" w:hAnsi="Times New Roman" w:cs="Times New Roman"/>
                <w:b/>
                <w:bCs/>
                <w:sz w:val="20"/>
                <w:szCs w:val="20"/>
              </w:rPr>
            </w:pPr>
          </w:p>
        </w:tc>
        <w:tc>
          <w:tcPr>
            <w:tcW w:w="1193" w:type="dxa"/>
            <w:tcBorders>
              <w:top w:val="single" w:sz="4" w:space="0" w:color="000000"/>
              <w:bottom w:val="single" w:sz="4" w:space="0" w:color="000000"/>
            </w:tcBorders>
          </w:tcPr>
          <w:p w14:paraId="05B20D98" w14:textId="77777777" w:rsidR="00932051" w:rsidRDefault="0052593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H1, H3</w:t>
            </w:r>
          </w:p>
        </w:tc>
        <w:tc>
          <w:tcPr>
            <w:tcW w:w="1305" w:type="dxa"/>
            <w:tcBorders>
              <w:top w:val="single" w:sz="4" w:space="0" w:color="000000"/>
              <w:bottom w:val="single" w:sz="4" w:space="0" w:color="000000"/>
            </w:tcBorders>
          </w:tcPr>
          <w:p w14:paraId="05B20D99"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400 UK participants, </w:t>
            </w:r>
            <w:proofErr w:type="spellStart"/>
            <w:r>
              <w:rPr>
                <w:rFonts w:ascii="Times New Roman" w:eastAsia="Times New Roman" w:hAnsi="Times New Roman" w:cs="Times New Roman"/>
                <w:sz w:val="20"/>
                <w:szCs w:val="20"/>
              </w:rPr>
              <w:t>ProA</w:t>
            </w:r>
            <w:proofErr w:type="spellEnd"/>
          </w:p>
        </w:tc>
        <w:tc>
          <w:tcPr>
            <w:tcW w:w="1297" w:type="dxa"/>
            <w:tcBorders>
              <w:top w:val="single" w:sz="4" w:space="0" w:color="000000"/>
              <w:bottom w:val="single" w:sz="4" w:space="0" w:color="000000"/>
            </w:tcBorders>
          </w:tcPr>
          <w:p w14:paraId="05B20D9A"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Music festival</w:t>
            </w:r>
          </w:p>
        </w:tc>
        <w:tc>
          <w:tcPr>
            <w:tcW w:w="3280" w:type="dxa"/>
            <w:tcBorders>
              <w:top w:val="single" w:sz="4" w:space="0" w:color="000000"/>
              <w:bottom w:val="single" w:sz="4" w:space="0" w:color="000000"/>
            </w:tcBorders>
          </w:tcPr>
          <w:p w14:paraId="05B20D9B" w14:textId="77777777" w:rsidR="00932051" w:rsidRDefault="00525931">
            <w:r>
              <w:rPr>
                <w:rFonts w:ascii="Times New Roman" w:eastAsia="Times New Roman" w:hAnsi="Times New Roman" w:cs="Times New Roman"/>
                <w:sz w:val="20"/>
                <w:szCs w:val="20"/>
              </w:rPr>
              <w:t xml:space="preserve">Highly prototypical cue that remains present in the offering can compensate for a reduction in the number of sustainability cues. </w:t>
            </w:r>
          </w:p>
        </w:tc>
      </w:tr>
      <w:tr w:rsidR="00932051" w14:paraId="05B20DA4" w14:textId="77777777">
        <w:trPr>
          <w:trHeight w:val="270"/>
        </w:trPr>
        <w:tc>
          <w:tcPr>
            <w:tcW w:w="1985" w:type="dxa"/>
            <w:tcBorders>
              <w:top w:val="single" w:sz="4" w:space="0" w:color="000000"/>
              <w:bottom w:val="single" w:sz="4" w:space="0" w:color="000000"/>
            </w:tcBorders>
          </w:tcPr>
          <w:p w14:paraId="05B20D9D" w14:textId="77777777" w:rsidR="00932051" w:rsidRDefault="00525931">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Study 9</w:t>
            </w:r>
          </w:p>
          <w:p w14:paraId="05B20D9E" w14:textId="77777777" w:rsidR="00932051" w:rsidRDefault="0052593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Single factor (number of items: additive vs. subtractive) </w:t>
            </w:r>
            <w:r>
              <w:rPr>
                <w:rFonts w:ascii="Times New Roman" w:eastAsia="Times New Roman" w:hAnsi="Times New Roman" w:cs="Times New Roman"/>
                <w:color w:val="000000"/>
                <w:sz w:val="20"/>
                <w:szCs w:val="20"/>
              </w:rPr>
              <w:t>between-subjects</w:t>
            </w:r>
          </w:p>
          <w:p w14:paraId="05B20D9F" w14:textId="77777777" w:rsidR="00932051" w:rsidRDefault="00932051">
            <w:pPr>
              <w:rPr>
                <w:rFonts w:ascii="Times New Roman" w:eastAsia="Times New Roman" w:hAnsi="Times New Roman" w:cs="Times New Roman"/>
                <w:sz w:val="20"/>
                <w:szCs w:val="20"/>
              </w:rPr>
            </w:pPr>
          </w:p>
        </w:tc>
        <w:tc>
          <w:tcPr>
            <w:tcW w:w="1193" w:type="dxa"/>
            <w:tcBorders>
              <w:top w:val="single" w:sz="4" w:space="0" w:color="000000"/>
              <w:bottom w:val="single" w:sz="4" w:space="0" w:color="000000"/>
            </w:tcBorders>
          </w:tcPr>
          <w:p w14:paraId="05B20DA0" w14:textId="77777777" w:rsidR="00932051" w:rsidRDefault="00525931">
            <w:pPr>
              <w:spacing w:before="240"/>
              <w:rPr>
                <w:rFonts w:ascii="Times New Roman" w:eastAsia="Times New Roman" w:hAnsi="Times New Roman" w:cs="Times New Roman"/>
                <w:sz w:val="20"/>
                <w:szCs w:val="20"/>
              </w:rPr>
            </w:pPr>
            <w:r>
              <w:rPr>
                <w:rFonts w:ascii="Times New Roman" w:eastAsia="Times New Roman" w:hAnsi="Times New Roman" w:cs="Times New Roman"/>
                <w:sz w:val="20"/>
                <w:szCs w:val="20"/>
              </w:rPr>
              <w:t>H3</w:t>
            </w:r>
          </w:p>
        </w:tc>
        <w:tc>
          <w:tcPr>
            <w:tcW w:w="1305" w:type="dxa"/>
            <w:tcBorders>
              <w:top w:val="single" w:sz="4" w:space="0" w:color="000000"/>
              <w:bottom w:val="single" w:sz="4" w:space="0" w:color="000000"/>
            </w:tcBorders>
          </w:tcPr>
          <w:p w14:paraId="05B20DA1" w14:textId="77777777" w:rsidR="00932051" w:rsidRDefault="00525931">
            <w:pPr>
              <w:spacing w:before="240"/>
              <w:rPr>
                <w:rFonts w:ascii="Times New Roman" w:eastAsia="Times New Roman" w:hAnsi="Times New Roman" w:cs="Times New Roman"/>
                <w:sz w:val="20"/>
                <w:szCs w:val="20"/>
              </w:rPr>
            </w:pPr>
            <w:r>
              <w:rPr>
                <w:rFonts w:ascii="Times New Roman" w:eastAsia="Times New Roman" w:hAnsi="Times New Roman" w:cs="Times New Roman"/>
                <w:sz w:val="20"/>
                <w:szCs w:val="20"/>
              </w:rPr>
              <w:t>134 students</w:t>
            </w:r>
          </w:p>
        </w:tc>
        <w:tc>
          <w:tcPr>
            <w:tcW w:w="1297" w:type="dxa"/>
            <w:tcBorders>
              <w:top w:val="single" w:sz="4" w:space="0" w:color="000000"/>
              <w:bottom w:val="single" w:sz="4" w:space="0" w:color="000000"/>
            </w:tcBorders>
          </w:tcPr>
          <w:p w14:paraId="05B20DA2" w14:textId="77777777" w:rsidR="00932051" w:rsidRDefault="00525931">
            <w:pPr>
              <w:spacing w:before="240"/>
              <w:rPr>
                <w:rFonts w:ascii="Times New Roman" w:eastAsia="Times New Roman" w:hAnsi="Times New Roman" w:cs="Times New Roman"/>
                <w:sz w:val="20"/>
                <w:szCs w:val="20"/>
              </w:rPr>
            </w:pPr>
            <w:r>
              <w:rPr>
                <w:rFonts w:ascii="Times New Roman" w:eastAsia="Times New Roman" w:hAnsi="Times New Roman" w:cs="Times New Roman"/>
                <w:sz w:val="20"/>
                <w:szCs w:val="20"/>
              </w:rPr>
              <w:t>Trade show</w:t>
            </w:r>
          </w:p>
        </w:tc>
        <w:tc>
          <w:tcPr>
            <w:tcW w:w="3280" w:type="dxa"/>
            <w:tcBorders>
              <w:top w:val="single" w:sz="4" w:space="0" w:color="000000"/>
              <w:bottom w:val="single" w:sz="4" w:space="0" w:color="000000"/>
            </w:tcBorders>
          </w:tcPr>
          <w:p w14:paraId="05B20DA3" w14:textId="77777777" w:rsidR="00932051" w:rsidRDefault="00525931">
            <w:pPr>
              <w:spacing w:before="2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Highly prototypical components are used to better convey sustainability: consumers do not renounce them if they have to remove items, and prefer to add them to offers that are otherwise limited. </w:t>
            </w:r>
          </w:p>
        </w:tc>
      </w:tr>
    </w:tbl>
    <w:p w14:paraId="05B20DA6" w14:textId="77777777" w:rsidR="00932051" w:rsidRDefault="00932051">
      <w:pPr>
        <w:spacing w:after="0" w:line="480" w:lineRule="auto"/>
        <w:jc w:val="both"/>
        <w:rPr>
          <w:rFonts w:ascii="Times New Roman" w:eastAsia="Times New Roman" w:hAnsi="Times New Roman" w:cs="Times New Roman"/>
          <w:color w:val="000000"/>
          <w:sz w:val="24"/>
          <w:szCs w:val="24"/>
        </w:rPr>
      </w:pPr>
    </w:p>
    <w:p w14:paraId="05B20DA7" w14:textId="6077655A" w:rsidR="00932051" w:rsidRDefault="00525931">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Throughout, we refer to variations in the number of components within a company’s offering as the “number of items,” distinguishing additive from subtractive conditions. These variations were manipulated either implicitly, by showing additive (= more) or subtractive (= fewer) components, or explicitly, by stating that a new offer added or subtracted components relative to the prior one. Studies 1-3 use implicit manipulation, which mirrors how consumers typically encounter product and service configurations, that is, by seeing what is offered without explicit information about how it has changed. Studies 4-9 use explicit manipulation, establishing a clear reference point and making the nature of the change more salient, which allows us to assess whether highlighting the direction of the variation modifies the effect observed under the more naturalistic presentation. Sequencing the studies in this way tests the phenomenon both in ecologically valid conditions and in more controlled settings. Details of the scenario development are in the appendices: Appendix A provides scenarios and materials; Appendix B presents additional data, analyses and results; Appendix C documents a complementary study (Study 6c) that rules out perceived quality as alternative mediator. As is common in multi-study research, each study carries a specific design limitation when considered in isolation; we therefore note, when presenting each study, the main limitation it carries and how it is mitigated, either through the manipulation checks reported in Appendix B or through subsequent studies whose designs address the alternative explanation. Viewed together, the studies form a cumulative package in which complementary designs progressively rule out confounds and converge on the same conclusion. </w:t>
      </w:r>
    </w:p>
    <w:p w14:paraId="75FBC3B8" w14:textId="77777777" w:rsidR="004D26BE" w:rsidRDefault="004D26BE">
      <w:pPr>
        <w:spacing w:after="0" w:line="480" w:lineRule="auto"/>
        <w:jc w:val="both"/>
        <w:rPr>
          <w:rFonts w:ascii="Times New Roman" w:eastAsia="Times New Roman" w:hAnsi="Times New Roman" w:cs="Times New Roman"/>
          <w:sz w:val="24"/>
          <w:szCs w:val="24"/>
        </w:rPr>
      </w:pPr>
    </w:p>
    <w:p w14:paraId="05B20DA8" w14:textId="77777777" w:rsidR="00932051" w:rsidRDefault="00525931">
      <w:pPr>
        <w:spacing w:after="0" w:line="48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Study 1 </w:t>
      </w:r>
    </w:p>
    <w:p w14:paraId="05B20DA9" w14:textId="77777777" w:rsidR="00932051" w:rsidRPr="000460EB" w:rsidRDefault="00525931">
      <w:p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sidRPr="000460EB">
        <w:rPr>
          <w:rFonts w:ascii="Times New Roman" w:eastAsia="Times New Roman" w:hAnsi="Times New Roman" w:cs="Times New Roman"/>
          <w:b/>
          <w:bCs/>
          <w:color w:val="000000"/>
          <w:sz w:val="24"/>
          <w:szCs w:val="24"/>
        </w:rPr>
        <w:t>Design and procedure</w:t>
      </w:r>
    </w:p>
    <w:p w14:paraId="05B20DAA"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Study 1 is a single factor (number of items: additive vs. subtractive) between-subjects pre-registered experiment (see </w:t>
      </w:r>
      <w:hyperlink r:id="rId7">
        <w:r>
          <w:rPr>
            <w:rFonts w:ascii="Times New Roman" w:eastAsia="Times New Roman" w:hAnsi="Times New Roman" w:cs="Times New Roman"/>
            <w:color w:val="0563C1"/>
            <w:sz w:val="24"/>
            <w:szCs w:val="24"/>
            <w:u w:val="single"/>
          </w:rPr>
          <w:t>https://aspredicted.org/tny8-r2bp.pdf</w:t>
        </w:r>
      </w:hyperlink>
      <w:r>
        <w:rPr>
          <w:rFonts w:ascii="Times New Roman" w:eastAsia="Times New Roman" w:hAnsi="Times New Roman" w:cs="Times New Roman"/>
          <w:color w:val="000000"/>
          <w:sz w:val="24"/>
          <w:szCs w:val="24"/>
        </w:rPr>
        <w:t xml:space="preserve">), aimed at providing initial </w:t>
      </w:r>
      <w:r>
        <w:rPr>
          <w:rFonts w:ascii="Times New Roman" w:eastAsia="Times New Roman" w:hAnsi="Times New Roman" w:cs="Times New Roman"/>
          <w:color w:val="000000"/>
          <w:sz w:val="24"/>
          <w:szCs w:val="24"/>
        </w:rPr>
        <w:lastRenderedPageBreak/>
        <w:t>support for H1. In total, 200 participants (</w:t>
      </w:r>
      <w:r>
        <w:rPr>
          <w:rFonts w:ascii="Times New Roman" w:eastAsia="Times New Roman" w:hAnsi="Times New Roman" w:cs="Times New Roman"/>
          <w:i/>
          <w:iCs/>
          <w:color w:val="000000"/>
          <w:sz w:val="24"/>
          <w:szCs w:val="24"/>
        </w:rPr>
        <w:t>M</w:t>
      </w:r>
      <w:r>
        <w:rPr>
          <w:rFonts w:ascii="Times New Roman" w:eastAsia="Times New Roman" w:hAnsi="Times New Roman" w:cs="Times New Roman"/>
          <w:color w:val="000000"/>
          <w:sz w:val="24"/>
          <w:szCs w:val="24"/>
          <w:vertAlign w:val="subscript"/>
        </w:rPr>
        <w:t>age</w:t>
      </w:r>
      <w:r>
        <w:rPr>
          <w:rFonts w:ascii="Times New Roman" w:eastAsia="Times New Roman" w:hAnsi="Times New Roman" w:cs="Times New Roman"/>
          <w:color w:val="000000"/>
          <w:sz w:val="24"/>
          <w:szCs w:val="24"/>
        </w:rPr>
        <w:t xml:space="preserve"> = 43.7; 59.5% female) were asked to be part of a group of independent judges tasked with identifying the most sustainable hotel in Europe. They were asked to rank a list of five hotels from the most sustainable (position 1) to the least sustainable (position 5). The hotels were given fictitious names to minimize recall bias, and each was presented with a brief description of the main eco-friendly features of a typical room (e.g., sustainable amenities, furniture made by local artisans, energy-saving technology) and two AI-generated pictures. Four of the five rooms were identical across conditions; the fifth was presented either with more eco-friendly items (toothbrush, soap, shampoo, flip-flops, etc.) or fewer (soap and shampoo only). On the basis of H1, we expected this focal hotel to be ranked systematically lower (i.e., M ≈ 5) under the subtractive than the additive condition. Hotels were shown in randomized order to minimize order effects. A separate online survey confirmed the effectiveness of the manipulation and assessed the realism and credibility of the stimuli; measures and analyses are reported in Appendix B.</w:t>
      </w:r>
    </w:p>
    <w:p w14:paraId="05B20DAB" w14:textId="77777777" w:rsidR="00932051" w:rsidRPr="000460EB" w:rsidRDefault="00525931">
      <w:pPr>
        <w:spacing w:after="0" w:line="480" w:lineRule="auto"/>
        <w:jc w:val="both"/>
        <w:rPr>
          <w:rFonts w:ascii="Times New Roman" w:eastAsia="Times New Roman" w:hAnsi="Times New Roman" w:cs="Times New Roman"/>
          <w:b/>
          <w:bCs/>
          <w:sz w:val="24"/>
          <w:szCs w:val="24"/>
        </w:rPr>
      </w:pPr>
      <w:r w:rsidRPr="000460EB">
        <w:rPr>
          <w:rFonts w:ascii="Times New Roman" w:eastAsia="Times New Roman" w:hAnsi="Times New Roman" w:cs="Times New Roman"/>
          <w:b/>
          <w:bCs/>
          <w:sz w:val="24"/>
          <w:szCs w:val="24"/>
        </w:rPr>
        <w:t>Results</w:t>
      </w:r>
    </w:p>
    <w:p w14:paraId="05B20DAC"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 one-way ANOVA on the position of the focal hotel showed that, with the complete set of eco-friendly items (additive condition), it was placed significantly higher in the ranking (closer to position 1) than with fewer eco-friendly items (subtractive condition) (</w:t>
      </w:r>
      <w:proofErr w:type="gramStart"/>
      <w:r>
        <w:rPr>
          <w:rFonts w:ascii="Times New Roman" w:eastAsia="Times New Roman" w:hAnsi="Times New Roman" w:cs="Times New Roman"/>
          <w:i/>
          <w:iCs/>
          <w:color w:val="000000"/>
          <w:sz w:val="24"/>
          <w:szCs w:val="24"/>
        </w:rPr>
        <w:t>F</w:t>
      </w:r>
      <w:r>
        <w:rPr>
          <w:rFonts w:ascii="Times New Roman" w:eastAsia="Times New Roman" w:hAnsi="Times New Roman" w:cs="Times New Roman"/>
          <w:color w:val="000000"/>
          <w:sz w:val="24"/>
          <w:szCs w:val="24"/>
          <w:vertAlign w:val="subscript"/>
        </w:rPr>
        <w:t>(</w:t>
      </w:r>
      <w:proofErr w:type="gramEnd"/>
      <w:r>
        <w:rPr>
          <w:rFonts w:ascii="Times New Roman" w:eastAsia="Times New Roman" w:hAnsi="Times New Roman" w:cs="Times New Roman"/>
          <w:color w:val="000000"/>
          <w:sz w:val="24"/>
          <w:szCs w:val="24"/>
          <w:vertAlign w:val="subscript"/>
        </w:rPr>
        <w:t>1,198)</w:t>
      </w:r>
      <w:r>
        <w:rPr>
          <w:rFonts w:ascii="Times New Roman" w:eastAsia="Times New Roman" w:hAnsi="Times New Roman" w:cs="Times New Roman"/>
          <w:color w:val="000000"/>
          <w:sz w:val="24"/>
          <w:szCs w:val="24"/>
        </w:rPr>
        <w:t xml:space="preserve"> = 25.40, </w:t>
      </w:r>
      <w:r>
        <w:rPr>
          <w:rFonts w:ascii="Times New Roman" w:eastAsia="Times New Roman" w:hAnsi="Times New Roman" w:cs="Times New Roman"/>
          <w:i/>
          <w:iCs/>
          <w:color w:val="000000"/>
          <w:sz w:val="24"/>
          <w:szCs w:val="24"/>
        </w:rPr>
        <w:t>p</w:t>
      </w:r>
      <w:r>
        <w:rPr>
          <w:rFonts w:ascii="Times New Roman" w:eastAsia="Times New Roman" w:hAnsi="Times New Roman" w:cs="Times New Roman"/>
          <w:color w:val="000000"/>
          <w:sz w:val="24"/>
          <w:szCs w:val="24"/>
        </w:rPr>
        <w:t xml:space="preserve"> &lt; .001, </w:t>
      </w:r>
      <w:r>
        <w:rPr>
          <w:rFonts w:ascii="Noto Sans Symbols" w:eastAsia="Noto Sans Symbols" w:hAnsi="Noto Sans Symbols" w:cs="Noto Sans Symbols"/>
          <w:i/>
          <w:iCs/>
          <w:color w:val="000000"/>
          <w:sz w:val="24"/>
          <w:szCs w:val="24"/>
        </w:rPr>
        <w:t>η</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 .114; </w:t>
      </w:r>
      <w:proofErr w:type="spellStart"/>
      <w:r>
        <w:rPr>
          <w:rFonts w:ascii="Times New Roman" w:eastAsia="Times New Roman" w:hAnsi="Times New Roman" w:cs="Times New Roman"/>
          <w:i/>
          <w:iCs/>
          <w:color w:val="000000"/>
          <w:sz w:val="24"/>
          <w:szCs w:val="24"/>
        </w:rPr>
        <w:t>M</w:t>
      </w:r>
      <w:r>
        <w:rPr>
          <w:rFonts w:ascii="Times New Roman" w:eastAsia="Times New Roman" w:hAnsi="Times New Roman" w:cs="Times New Roman"/>
          <w:color w:val="000000"/>
          <w:sz w:val="24"/>
          <w:szCs w:val="24"/>
          <w:vertAlign w:val="subscript"/>
        </w:rPr>
        <w:t>additive</w:t>
      </w:r>
      <w:proofErr w:type="spellEnd"/>
      <w:r>
        <w:rPr>
          <w:rFonts w:ascii="Times New Roman" w:eastAsia="Times New Roman" w:hAnsi="Times New Roman" w:cs="Times New Roman"/>
          <w:color w:val="000000"/>
          <w:sz w:val="24"/>
          <w:szCs w:val="24"/>
        </w:rPr>
        <w:t xml:space="preserve"> = 3.76, SD = 1.17; </w:t>
      </w:r>
      <w:proofErr w:type="spellStart"/>
      <w:r>
        <w:rPr>
          <w:rFonts w:ascii="Times New Roman" w:eastAsia="Times New Roman" w:hAnsi="Times New Roman" w:cs="Times New Roman"/>
          <w:i/>
          <w:iCs/>
          <w:color w:val="000000"/>
          <w:sz w:val="24"/>
          <w:szCs w:val="24"/>
        </w:rPr>
        <w:t>M</w:t>
      </w:r>
      <w:r>
        <w:rPr>
          <w:rFonts w:ascii="Times New Roman" w:eastAsia="Times New Roman" w:hAnsi="Times New Roman" w:cs="Times New Roman"/>
          <w:color w:val="000000"/>
          <w:sz w:val="24"/>
          <w:szCs w:val="24"/>
          <w:vertAlign w:val="subscript"/>
        </w:rPr>
        <w:t>subtractive</w:t>
      </w:r>
      <w:proofErr w:type="spellEnd"/>
      <w:r>
        <w:rPr>
          <w:rFonts w:ascii="Times New Roman" w:eastAsia="Times New Roman" w:hAnsi="Times New Roman" w:cs="Times New Roman"/>
          <w:color w:val="000000"/>
          <w:sz w:val="24"/>
          <w:szCs w:val="24"/>
        </w:rPr>
        <w:t xml:space="preserve"> = 4.47, SD = .81). Notably, there were no significant differences in ranking position for the other four hotels (</w:t>
      </w:r>
      <w:r>
        <w:rPr>
          <w:rFonts w:ascii="Times New Roman" w:eastAsia="Times New Roman" w:hAnsi="Times New Roman" w:cs="Times New Roman"/>
          <w:i/>
          <w:iCs/>
          <w:color w:val="000000"/>
          <w:sz w:val="24"/>
          <w:szCs w:val="24"/>
        </w:rPr>
        <w:t>p</w:t>
      </w:r>
      <w:r>
        <w:rPr>
          <w:rFonts w:ascii="Times New Roman" w:eastAsia="Times New Roman" w:hAnsi="Times New Roman" w:cs="Times New Roman"/>
          <w:color w:val="000000"/>
          <w:sz w:val="24"/>
          <w:szCs w:val="24"/>
        </w:rPr>
        <w:t xml:space="preserve"> &gt; .05) within the two lists (additive and subtractive), supporting the idea that the difference for the focal hotel was a result of its additive vs. subtractive eco-friendly items.</w:t>
      </w:r>
    </w:p>
    <w:p w14:paraId="05B20DAD" w14:textId="56A1A1B2" w:rsidR="00932051" w:rsidRDefault="00525931">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Study 1 provides preliminary evidence of </w:t>
      </w:r>
      <w:r w:rsidR="00F54C15">
        <w:rPr>
          <w:rFonts w:ascii="Times New Roman" w:eastAsia="Times New Roman" w:hAnsi="Times New Roman" w:cs="Times New Roman"/>
          <w:color w:val="000000"/>
          <w:sz w:val="24"/>
          <w:szCs w:val="24"/>
        </w:rPr>
        <w:t>the sustainable</w:t>
      </w:r>
      <w:r>
        <w:rPr>
          <w:rFonts w:ascii="Times New Roman" w:eastAsia="Times New Roman" w:hAnsi="Times New Roman" w:cs="Times New Roman"/>
          <w:color w:val="000000"/>
          <w:sz w:val="24"/>
          <w:szCs w:val="24"/>
        </w:rPr>
        <w:t xml:space="preserve"> additive bias. Because the manipulation here is implicit, it does not on its own establish that participants experienced a subtraction rather than simply a smaller set (although the manipulation check reported in Appendix B confirms that respondents inferred addition vs. subtraction as intended). The </w:t>
      </w:r>
      <w:r>
        <w:rPr>
          <w:rFonts w:ascii="Times New Roman" w:eastAsia="Times New Roman" w:hAnsi="Times New Roman" w:cs="Times New Roman"/>
          <w:color w:val="000000"/>
          <w:sz w:val="24"/>
          <w:szCs w:val="24"/>
        </w:rPr>
        <w:lastRenderedPageBreak/>
        <w:t>explicit-reference designs of Studies 4 to 9 address this limitation directly. In the next study, we investigate this bias in the field, showing that an additive offering can raise sustainability judgments while generating more actual waste than before.</w:t>
      </w:r>
    </w:p>
    <w:p w14:paraId="05B20DAE" w14:textId="77777777" w:rsidR="00932051" w:rsidRDefault="00932051">
      <w:pPr>
        <w:spacing w:after="0" w:line="480" w:lineRule="auto"/>
        <w:rPr>
          <w:rFonts w:ascii="Times New Roman" w:eastAsia="Times New Roman" w:hAnsi="Times New Roman" w:cs="Times New Roman"/>
          <w:b/>
          <w:bCs/>
          <w:sz w:val="28"/>
          <w:szCs w:val="28"/>
        </w:rPr>
      </w:pPr>
    </w:p>
    <w:p w14:paraId="05B20DAF" w14:textId="77777777" w:rsidR="00932051" w:rsidRDefault="00525931">
      <w:pPr>
        <w:spacing w:after="0" w:line="48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Study 2 </w:t>
      </w:r>
    </w:p>
    <w:p w14:paraId="05B20DB0" w14:textId="77777777" w:rsidR="00932051" w:rsidRPr="000460EB" w:rsidRDefault="00525931">
      <w:pPr>
        <w:spacing w:after="0" w:line="480" w:lineRule="auto"/>
        <w:rPr>
          <w:rFonts w:ascii="Times New Roman" w:eastAsia="Times New Roman" w:hAnsi="Times New Roman" w:cs="Times New Roman"/>
          <w:b/>
          <w:bCs/>
          <w:sz w:val="24"/>
          <w:szCs w:val="24"/>
        </w:rPr>
      </w:pPr>
      <w:r w:rsidRPr="000460EB">
        <w:rPr>
          <w:rFonts w:ascii="Times New Roman" w:eastAsia="Times New Roman" w:hAnsi="Times New Roman" w:cs="Times New Roman"/>
          <w:b/>
          <w:bCs/>
          <w:sz w:val="24"/>
          <w:szCs w:val="24"/>
        </w:rPr>
        <w:t>Design and procedure</w:t>
      </w:r>
    </w:p>
    <w:p w14:paraId="05B20DB1" w14:textId="77777777" w:rsidR="00932051" w:rsidRDefault="00525931">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Study 2 moves the sustainable additive bias from the online setting to the field, testing whether it persists when consumers experience additive and subtractive offerings during a real hotel stay, and whether the bias comes at a genuine environmental cost. We pre-registered the study (see </w:t>
      </w:r>
      <w:hyperlink r:id="rId8">
        <w:r>
          <w:rPr>
            <w:rFonts w:ascii="Times New Roman" w:eastAsia="Times New Roman" w:hAnsi="Times New Roman" w:cs="Times New Roman"/>
            <w:color w:val="0563C1"/>
            <w:sz w:val="24"/>
            <w:szCs w:val="24"/>
            <w:u w:val="single"/>
          </w:rPr>
          <w:t>https://aspredicted.org/xv4b-8jsr.pdf</w:t>
        </w:r>
      </w:hyperlink>
      <w:r>
        <w:rPr>
          <w:rFonts w:ascii="Times New Roman" w:eastAsia="Times New Roman" w:hAnsi="Times New Roman" w:cs="Times New Roman"/>
          <w:color w:val="000000"/>
          <w:sz w:val="24"/>
          <w:szCs w:val="24"/>
        </w:rPr>
        <w:t>) and conducted it in a four-star hotel located in a European city during the first and second weeks of April 2025. The study was a single factor (number of items: additive vs. subtractive vs. control) experiment involving 302 hotel guests (</w:t>
      </w:r>
      <w:r>
        <w:rPr>
          <w:rFonts w:ascii="Times New Roman" w:eastAsia="Times New Roman" w:hAnsi="Times New Roman" w:cs="Times New Roman"/>
          <w:i/>
          <w:iCs/>
          <w:color w:val="000000"/>
          <w:sz w:val="24"/>
          <w:szCs w:val="24"/>
        </w:rPr>
        <w:t>M</w:t>
      </w:r>
      <w:r>
        <w:rPr>
          <w:rFonts w:ascii="Times New Roman" w:eastAsia="Times New Roman" w:hAnsi="Times New Roman" w:cs="Times New Roman"/>
          <w:color w:val="000000"/>
          <w:sz w:val="24"/>
          <w:szCs w:val="24"/>
          <w:vertAlign w:val="subscript"/>
        </w:rPr>
        <w:t>age</w:t>
      </w:r>
      <w:r>
        <w:rPr>
          <w:rFonts w:ascii="Times New Roman" w:eastAsia="Times New Roman" w:hAnsi="Times New Roman" w:cs="Times New Roman"/>
          <w:color w:val="000000"/>
          <w:sz w:val="24"/>
          <w:szCs w:val="24"/>
        </w:rPr>
        <w:t xml:space="preserve"> = 45; 45% female). </w:t>
      </w:r>
    </w:p>
    <w:p w14:paraId="05B20DB2" w14:textId="77777777" w:rsidR="00932051" w:rsidRDefault="00525931">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collaboration with the hotel's management, we prepared 97 rooms in three configurations, each applied to one-third of the room stays. Subtractive rooms offered only a few eco-friendly items: refillable dispensers for soap, shampoo, and conditioner, and limited paper amenities; to avoid harming the guest experience, extra amenities were available on request at reception. Additive rooms offered a wider range of eco-friendly items, including organic and biodegradable toiletries and reusable items (e.g., cloth napkins, glass water bottles). Control rooms carried the hotel's standard traditional set: travel-size toiletries, paper amenities, and other items (pens, notepads, tea/coffee sets, plastic water bottles). Conditions were randomized across floors and across rooms on each floor to avoid effects of room type or position. Over two weeks we measured the general waste generated in each room (in grams) and collected additional questionnaire data. </w:t>
      </w:r>
    </w:p>
    <w:p w14:paraId="05B20DB3" w14:textId="77777777" w:rsidR="00932051" w:rsidRDefault="00525931">
      <w:pPr>
        <w:pBdr>
          <w:top w:val="nil"/>
          <w:left w:val="nil"/>
          <w:bottom w:val="nil"/>
          <w:right w:val="nil"/>
          <w:between w:val="nil"/>
        </w:pBdr>
        <w:spacing w:after="0" w:line="480" w:lineRule="auto"/>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lastRenderedPageBreak/>
        <w:t>Front-desk staff randomly assigned guests to one of the three room types at check-in, and only single-night guests were included. Housekeeping collected and weighed the waste from each room daily; two trained staff members measured independently, with an inter-assessor agreement of 97%. At check-out, guests completed a short survey recording their judgment of the hotel's sustainability and their overall experience (five-point ascending Likert scale).</w:t>
      </w:r>
      <w:r>
        <w:rPr>
          <w:rFonts w:ascii="Times New Roman" w:eastAsia="Times New Roman" w:hAnsi="Times New Roman" w:cs="Times New Roman"/>
          <w:color w:val="000000"/>
          <w:sz w:val="24"/>
          <w:szCs w:val="24"/>
          <w:vertAlign w:val="superscript"/>
        </w:rPr>
        <w:footnoteReference w:id="1"/>
      </w:r>
    </w:p>
    <w:p w14:paraId="05B20DB4" w14:textId="77777777" w:rsidR="00932051" w:rsidRPr="000460EB" w:rsidRDefault="00525931">
      <w:p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sidRPr="000460EB">
        <w:rPr>
          <w:rFonts w:ascii="Times New Roman" w:eastAsia="Times New Roman" w:hAnsi="Times New Roman" w:cs="Times New Roman"/>
          <w:b/>
          <w:bCs/>
          <w:color w:val="000000"/>
          <w:sz w:val="24"/>
          <w:szCs w:val="24"/>
        </w:rPr>
        <w:t>Results</w:t>
      </w:r>
    </w:p>
    <w:p w14:paraId="05B20DB5"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line with our main assumption and previous results, judgments of sustainability varied significantly between the conditions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2, 299)</w:t>
      </w:r>
      <w:r>
        <w:rPr>
          <w:rFonts w:ascii="Times New Roman" w:eastAsia="Times New Roman" w:hAnsi="Times New Roman" w:cs="Times New Roman"/>
          <w:sz w:val="24"/>
          <w:szCs w:val="24"/>
        </w:rPr>
        <w:t xml:space="preserve"> = 7.59,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w:t>
      </w:r>
      <w:r>
        <w:rPr>
          <w:rFonts w:ascii="Noto Sans Symbols" w:eastAsia="Noto Sans Symbols" w:hAnsi="Noto Sans Symbols" w:cs="Noto Sans Symbols"/>
          <w:i/>
          <w:iCs/>
          <w:sz w:val="24"/>
          <w:szCs w:val="24"/>
        </w:rPr>
        <w:t>η</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.048). Planned contrast tests show that guests exposed to the additive condition (wide set of </w:t>
      </w:r>
      <w:r>
        <w:rPr>
          <w:rFonts w:ascii="Times New Roman" w:eastAsia="Times New Roman" w:hAnsi="Times New Roman" w:cs="Times New Roman"/>
          <w:color w:val="000000"/>
          <w:sz w:val="24"/>
          <w:szCs w:val="24"/>
        </w:rPr>
        <w:t xml:space="preserve">eco-friendly </w:t>
      </w:r>
      <w:r>
        <w:rPr>
          <w:rFonts w:ascii="Times New Roman" w:eastAsia="Times New Roman" w:hAnsi="Times New Roman" w:cs="Times New Roman"/>
          <w:sz w:val="24"/>
          <w:szCs w:val="24"/>
        </w:rPr>
        <w:t xml:space="preserve">items) judged the hotel as significantly more sustainable than those who experienced the subtractive (small set of </w:t>
      </w:r>
      <w:r>
        <w:rPr>
          <w:rFonts w:ascii="Times New Roman" w:eastAsia="Times New Roman" w:hAnsi="Times New Roman" w:cs="Times New Roman"/>
          <w:color w:val="000000"/>
          <w:sz w:val="24"/>
          <w:szCs w:val="24"/>
        </w:rPr>
        <w:t xml:space="preserve">eco-friendly </w:t>
      </w:r>
      <w:r>
        <w:rPr>
          <w:rFonts w:ascii="Times New Roman" w:eastAsia="Times New Roman" w:hAnsi="Times New Roman" w:cs="Times New Roman"/>
          <w:sz w:val="24"/>
          <w:szCs w:val="24"/>
        </w:rPr>
        <w:t>items)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5.05, SD = 1.62;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4.63, SD =1.31;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299)</w:t>
      </w:r>
      <w:r>
        <w:rPr>
          <w:rFonts w:ascii="Times New Roman" w:eastAsia="Times New Roman" w:hAnsi="Times New Roman" w:cs="Times New Roman"/>
          <w:sz w:val="24"/>
          <w:szCs w:val="24"/>
        </w:rPr>
        <w:t xml:space="preserve"> = -2.17,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.031) or control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5.05, SD = 1.62;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control</w:t>
      </w:r>
      <w:proofErr w:type="spellEnd"/>
      <w:r>
        <w:rPr>
          <w:rFonts w:ascii="Times New Roman" w:eastAsia="Times New Roman" w:hAnsi="Times New Roman" w:cs="Times New Roman"/>
          <w:sz w:val="24"/>
          <w:szCs w:val="24"/>
        </w:rPr>
        <w:t xml:space="preserve"> = 4.30, SD =1.13;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299)</w:t>
      </w:r>
      <w:r>
        <w:rPr>
          <w:rFonts w:ascii="Times New Roman" w:eastAsia="Times New Roman" w:hAnsi="Times New Roman" w:cs="Times New Roman"/>
          <w:sz w:val="24"/>
          <w:szCs w:val="24"/>
        </w:rPr>
        <w:t xml:space="preserve"> = -3.89,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conditions. There was no significant difference in sustainability judgment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.09) between these two latter. </w:t>
      </w:r>
    </w:p>
    <w:p w14:paraId="05B20DB6"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Overall experience ratings were also affected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2, 299) = 6.79,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.001), with planned contrasts again favoring the additive over the subtractive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4.05, SD = 1.21;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3.48, SD = 1.06;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299)</w:t>
      </w:r>
      <w:r>
        <w:rPr>
          <w:rFonts w:ascii="Times New Roman" w:eastAsia="Times New Roman" w:hAnsi="Times New Roman" w:cs="Times New Roman"/>
          <w:sz w:val="24"/>
          <w:szCs w:val="24"/>
        </w:rPr>
        <w:t xml:space="preserve"> = -3.65,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or control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4.05, SD = 1.21;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control</w:t>
      </w:r>
      <w:proofErr w:type="spellEnd"/>
      <w:r>
        <w:rPr>
          <w:rFonts w:ascii="Times New Roman" w:eastAsia="Times New Roman" w:hAnsi="Times New Roman" w:cs="Times New Roman"/>
          <w:sz w:val="24"/>
          <w:szCs w:val="24"/>
        </w:rPr>
        <w:t xml:space="preserve"> = 3.70, SD = 1.5;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299)</w:t>
      </w:r>
      <w:r>
        <w:rPr>
          <w:rFonts w:ascii="Times New Roman" w:eastAsia="Times New Roman" w:hAnsi="Times New Roman" w:cs="Times New Roman"/>
          <w:sz w:val="24"/>
          <w:szCs w:val="24"/>
        </w:rPr>
        <w:t xml:space="preserve"> = -2.24,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.026) conditions. Again, there was no significant difference between these two latter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.16). </w:t>
      </w:r>
    </w:p>
    <w:p w14:paraId="05B20DB7"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conditions also generated different amounts of waste. Calculating waste percentages as the total weight of waste divided by the total weight of items offered, guests in the additive condition produced a significantly higher proportion of waste than in either the control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.551, SD = .06;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control</w:t>
      </w:r>
      <w:proofErr w:type="spellEnd"/>
      <w:r>
        <w:rPr>
          <w:rFonts w:ascii="Times New Roman" w:eastAsia="Times New Roman" w:hAnsi="Times New Roman" w:cs="Times New Roman"/>
          <w:sz w:val="24"/>
          <w:szCs w:val="24"/>
        </w:rPr>
        <w:t xml:space="preserve"> = .529, SD = .08;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200)</w:t>
      </w:r>
      <w:r>
        <w:rPr>
          <w:rFonts w:ascii="Times New Roman" w:eastAsia="Times New Roman" w:hAnsi="Times New Roman" w:cs="Times New Roman"/>
          <w:sz w:val="24"/>
          <w:szCs w:val="24"/>
        </w:rPr>
        <w:t xml:space="preserve"> = -2.21,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.028) or the subtractive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.551, SD = .06;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.511, SD = .06;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200)</w:t>
      </w:r>
      <w:r>
        <w:rPr>
          <w:rFonts w:ascii="Times New Roman" w:eastAsia="Times New Roman" w:hAnsi="Times New Roman" w:cs="Times New Roman"/>
          <w:sz w:val="24"/>
          <w:szCs w:val="24"/>
        </w:rPr>
        <w:t xml:space="preserve"> = -4.74,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conditions. The difference </w:t>
      </w:r>
      <w:r>
        <w:rPr>
          <w:rFonts w:ascii="Times New Roman" w:eastAsia="Times New Roman" w:hAnsi="Times New Roman" w:cs="Times New Roman"/>
          <w:sz w:val="24"/>
          <w:szCs w:val="24"/>
        </w:rPr>
        <w:lastRenderedPageBreak/>
        <w:t>between these two latter was marginally significant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198)</w:t>
      </w:r>
      <w:r>
        <w:rPr>
          <w:rFonts w:ascii="Times New Roman" w:eastAsia="Times New Roman" w:hAnsi="Times New Roman" w:cs="Times New Roman"/>
          <w:sz w:val="24"/>
          <w:szCs w:val="24"/>
        </w:rPr>
        <w:t xml:space="preserve"> = -1.80,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.07) (analysis and results conducted on raw waste are available in Appendix B.) </w:t>
      </w:r>
    </w:p>
    <w:p w14:paraId="05B20DB8"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producing less waste, guests in the subtractive condition were less satisfied with the overall experience and judged the hotel as less sustainable, whereas the additive condition, with its more visible eco-friendly cues, led to more waste but higher sustainability judgments. Studies 1 and 2 thus show that adding eco-friendly components raises sustainability judgments even when it generates more actual waste. The next study examines what happens when the additions are traditional rather than eco-friendly.</w:t>
      </w:r>
    </w:p>
    <w:p w14:paraId="05B20DB9" w14:textId="77777777" w:rsidR="00932051" w:rsidRDefault="00525931">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5B20DBA" w14:textId="77777777" w:rsidR="00932051" w:rsidRDefault="00525931">
      <w:pPr>
        <w:spacing w:after="0" w:line="48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Study 3 </w:t>
      </w:r>
    </w:p>
    <w:p w14:paraId="05B20DBB" w14:textId="77777777" w:rsidR="00932051" w:rsidRPr="000460EB" w:rsidRDefault="00525931">
      <w:p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sidRPr="000460EB">
        <w:rPr>
          <w:rFonts w:ascii="Times New Roman" w:eastAsia="Times New Roman" w:hAnsi="Times New Roman" w:cs="Times New Roman"/>
          <w:b/>
          <w:bCs/>
          <w:color w:val="000000"/>
          <w:sz w:val="24"/>
          <w:szCs w:val="24"/>
        </w:rPr>
        <w:t>Design and procedure</w:t>
      </w:r>
    </w:p>
    <w:p w14:paraId="05B20DBC"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Study 3 directly tests how consumers rate two companies on environmental sustainability according to the number and type of items they offer, using a single factor (item type: eco-friendly vs. traditional) between-subjects design (pre-registration: </w:t>
      </w:r>
      <w:hyperlink r:id="rId9">
        <w:r>
          <w:rPr>
            <w:rFonts w:ascii="Times New Roman" w:eastAsia="Times New Roman" w:hAnsi="Times New Roman" w:cs="Times New Roman"/>
            <w:color w:val="0563C1"/>
            <w:sz w:val="24"/>
            <w:szCs w:val="24"/>
            <w:u w:val="single"/>
          </w:rPr>
          <w:t>https://aspredicted.org/nwd6-rm4q.pdf</w:t>
        </w:r>
      </w:hyperlink>
      <w:r>
        <w:rPr>
          <w:rFonts w:ascii="Times New Roman" w:eastAsia="Times New Roman" w:hAnsi="Times New Roman" w:cs="Times New Roman"/>
          <w:sz w:val="24"/>
          <w:szCs w:val="24"/>
        </w:rPr>
        <w:t>) involving 400 participants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age</w:t>
      </w:r>
      <w:r>
        <w:rPr>
          <w:rFonts w:ascii="Times New Roman" w:eastAsia="Times New Roman" w:hAnsi="Times New Roman" w:cs="Times New Roman"/>
          <w:sz w:val="24"/>
          <w:szCs w:val="24"/>
        </w:rPr>
        <w:t xml:space="preserve"> = 44.2; 57.3% female). </w:t>
      </w:r>
    </w:p>
    <w:p w14:paraId="05B20DBD"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Participants saw two hotel room images simultaneously and indicated which represented the more sustainable hotel. The rooms differed in the number of toiletries displayed: one contained a small set (soap and shampoo only; subtractive room), the other a full set (soap, shampoo, moisturizer, toothbrush, etc.; additive room). Item type (eco-friendly vs. traditional) was the only between-subjects factor: in the eco-friendly condition, all items across both rooms were presented with green color schemes and labels such as "organic" and "biodegradable," whereas in the traditional condition, items were presented in neutral colors with no sustainability-related labeling. The additive-versus-subtractive contrast was therefore operationalized within the choice task itself, by presenting the two configurations side by side, rather than as a fully </w:t>
      </w:r>
      <w:r>
        <w:rPr>
          <w:rFonts w:ascii="Times New Roman" w:eastAsia="Times New Roman" w:hAnsi="Times New Roman" w:cs="Times New Roman"/>
          <w:sz w:val="24"/>
          <w:szCs w:val="24"/>
        </w:rPr>
        <w:lastRenderedPageBreak/>
        <w:t>crossed experimental factor. Items were either eco-friendly or traditional across both rooms within each condition, so that choice could only be driven by the number of items rather than by item type. Apart from the toiletries the rooms were similar in appearance, differing in style to mask the aim of the study; styles were randomly paired with the configurations and picture order was randomized. A separate survey assessed the manipulation's effectiveness and the credibility of the stimuli, with results in Appendix B.</w:t>
      </w:r>
    </w:p>
    <w:p w14:paraId="05B20DBE" w14:textId="77777777" w:rsidR="00932051" w:rsidRPr="000460EB" w:rsidRDefault="00525931">
      <w:pPr>
        <w:spacing w:after="0" w:line="480" w:lineRule="auto"/>
        <w:jc w:val="both"/>
        <w:rPr>
          <w:rFonts w:ascii="Times New Roman" w:eastAsia="Times New Roman" w:hAnsi="Times New Roman" w:cs="Times New Roman"/>
          <w:b/>
          <w:bCs/>
          <w:sz w:val="24"/>
          <w:szCs w:val="24"/>
        </w:rPr>
      </w:pPr>
      <w:r w:rsidRPr="000460EB">
        <w:rPr>
          <w:rFonts w:ascii="Times New Roman" w:eastAsia="Times New Roman" w:hAnsi="Times New Roman" w:cs="Times New Roman"/>
          <w:b/>
          <w:bCs/>
          <w:sz w:val="24"/>
          <w:szCs w:val="24"/>
        </w:rPr>
        <w:t>Results</w:t>
      </w:r>
    </w:p>
    <w:p w14:paraId="05B20DBF"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examined whether item type influenced the choice of the more sustainable room. When the items were traditional, the subtractive room was judged more sustainable (78.6%) than the additive room (21.4%). Conversely, when the items were eco-friendly, participants were slightly more likely to judge the additive room as more sustainable (51.3% vs. 48.7%) (Pearson Chi-</w:t>
      </w:r>
      <w:proofErr w:type="gramStart"/>
      <w:r>
        <w:rPr>
          <w:rFonts w:ascii="Times New Roman" w:eastAsia="Times New Roman" w:hAnsi="Times New Roman" w:cs="Times New Roman"/>
          <w:sz w:val="24"/>
          <w:szCs w:val="24"/>
        </w:rPr>
        <w:t>square</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 38.59;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w:t>
      </w:r>
    </w:p>
    <w:p w14:paraId="05B20DC0" w14:textId="54D49481"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side-by-side judgment</w:t>
      </w:r>
      <w:r w:rsidR="009071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task provides initial support for the idea that sustainability judgments follow different paths: in line with H1, the additive condition is judged more sustainable for eco-friendly items, whereas for traditional items the subtractive condition is (correctly) perceived as more sustainable. The clearest contribution of Study 3 is the strong preference for subtractive configurations when items are traditional (78.6%), while the eco-friendly additive preference should be interpreted with caution, as preferences are close (51.3% vs. 48.7%): the additive advantage for eco-friendly components is established more firmly under the fully crossed designs of Studies 4 to 6.</w:t>
      </w:r>
    </w:p>
    <w:p w14:paraId="05B20DC1"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Across Studies 1–3, participants were not explicitly told whether the company had added or removed items, consistent with typical marketplace conditions. While this captures responses to the observable outcomes of sustainability initiatives, it does not address how consumers react when the change is explicitly communicated. Study 4 therefore makes additions and subtractions explicit, testing whether the bias persists when the nature of the action is stated.</w:t>
      </w:r>
    </w:p>
    <w:p w14:paraId="33D320D5" w14:textId="77777777" w:rsidR="0090711E" w:rsidRDefault="0090711E">
      <w:pPr>
        <w:spacing w:after="0" w:line="480" w:lineRule="auto"/>
        <w:jc w:val="both"/>
        <w:rPr>
          <w:rFonts w:ascii="Times New Roman" w:eastAsia="Times New Roman" w:hAnsi="Times New Roman" w:cs="Times New Roman"/>
          <w:b/>
          <w:bCs/>
          <w:sz w:val="28"/>
          <w:szCs w:val="28"/>
        </w:rPr>
      </w:pPr>
    </w:p>
    <w:p w14:paraId="05B20DC2" w14:textId="77777777" w:rsidR="00932051" w:rsidRDefault="00525931">
      <w:pPr>
        <w:spacing w:line="48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Study 4 </w:t>
      </w:r>
    </w:p>
    <w:p w14:paraId="05B20DC3" w14:textId="77777777" w:rsidR="00932051" w:rsidRPr="000460EB" w:rsidRDefault="00525931">
      <w:p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sidRPr="000460EB">
        <w:rPr>
          <w:rFonts w:ascii="Times New Roman" w:eastAsia="Times New Roman" w:hAnsi="Times New Roman" w:cs="Times New Roman"/>
          <w:b/>
          <w:bCs/>
          <w:color w:val="000000"/>
          <w:sz w:val="24"/>
          <w:szCs w:val="24"/>
        </w:rPr>
        <w:t>Design and procedure</w:t>
      </w:r>
    </w:p>
    <w:p w14:paraId="05B20DC6" w14:textId="00D8177B"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Study 4 crosses item type with the additive-versus-subtractive manipulation in a fully factorial design, delivering the first complete test of the interaction predicted by H1. We involved 401 participants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age</w:t>
      </w:r>
      <w:r>
        <w:rPr>
          <w:rFonts w:ascii="Times New Roman" w:eastAsia="Times New Roman" w:hAnsi="Times New Roman" w:cs="Times New Roman"/>
          <w:sz w:val="24"/>
          <w:szCs w:val="24"/>
        </w:rPr>
        <w:t xml:space="preserve"> = 44.8; 56.4% female) in a 2 (number of items: additive vs. subtractive) x 2 (room type: </w:t>
      </w:r>
      <w:r>
        <w:rPr>
          <w:rFonts w:ascii="Times New Roman" w:eastAsia="Times New Roman" w:hAnsi="Times New Roman" w:cs="Times New Roman"/>
          <w:color w:val="000000"/>
          <w:sz w:val="24"/>
          <w:szCs w:val="24"/>
        </w:rPr>
        <w:t xml:space="preserve">eco-friendly </w:t>
      </w:r>
      <w:r>
        <w:rPr>
          <w:rFonts w:ascii="Times New Roman" w:eastAsia="Times New Roman" w:hAnsi="Times New Roman" w:cs="Times New Roman"/>
          <w:sz w:val="24"/>
          <w:szCs w:val="24"/>
        </w:rPr>
        <w:t xml:space="preserve">vs. traditional) between-subjects design (pre-registration: </w:t>
      </w:r>
      <w:hyperlink r:id="rId10">
        <w:r>
          <w:rPr>
            <w:rFonts w:ascii="Times New Roman" w:eastAsia="Times New Roman" w:hAnsi="Times New Roman" w:cs="Times New Roman"/>
            <w:color w:val="0563C1"/>
            <w:sz w:val="24"/>
            <w:szCs w:val="24"/>
            <w:u w:val="single"/>
          </w:rPr>
          <w:t>https://aspredicted.org/qm7iw8.pdf</w:t>
        </w:r>
      </w:hyperlink>
      <w:r>
        <w:rPr>
          <w:rFonts w:ascii="Times New Roman" w:eastAsia="Times New Roman" w:hAnsi="Times New Roman" w:cs="Times New Roman"/>
          <w:sz w:val="24"/>
          <w:szCs w:val="24"/>
        </w:rPr>
        <w:t>). The procedures and stimuli followed Study 1. Four of the five rooms to be ranked were identical for a given room type, with small differences in the descriptions distinguishing the eco-friendly from the traditional list (e.g., eco-friendly rooms were described as equipped with the latest energy-saving technology, traditional rooms as ensuring a comfortable night). The fifth room was identical across conditions but varied in the number of amenities: a rich basket (toothbrush, soap, shampoo, flip-flops, etc.) in the additive condition and only soap and shampoo in the subtractive one. We made the change explicit by indicating that the room now offers either an enriched selection of amenities or fewer amenities. Amenities were shown in green and natural colors in the eco-friendly rooms and in black, white and grey in the traditional ones. Hotels were presented in random order, and a separate online survey assessed the effectiveness of the manipulations and the realism and credibility of the stimuli, as described in Appendix B.</w:t>
      </w:r>
      <w:r w:rsidR="00D379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We expected the subtractive eco-friendly room to be placed systematically lower (closer to position 5) than the additive one, and the subtractive traditional room to rank more highly than the additive one. </w:t>
      </w:r>
    </w:p>
    <w:p w14:paraId="05B20DC7" w14:textId="77777777" w:rsidR="00932051" w:rsidRPr="000460EB" w:rsidRDefault="00525931">
      <w:pPr>
        <w:spacing w:line="480" w:lineRule="auto"/>
        <w:jc w:val="both"/>
        <w:rPr>
          <w:rFonts w:ascii="Times New Roman" w:eastAsia="Times New Roman" w:hAnsi="Times New Roman" w:cs="Times New Roman"/>
          <w:b/>
          <w:bCs/>
          <w:sz w:val="24"/>
          <w:szCs w:val="24"/>
        </w:rPr>
      </w:pPr>
      <w:r w:rsidRPr="000460EB">
        <w:rPr>
          <w:rFonts w:ascii="Times New Roman" w:eastAsia="Times New Roman" w:hAnsi="Times New Roman" w:cs="Times New Roman"/>
          <w:b/>
          <w:bCs/>
          <w:sz w:val="24"/>
          <w:szCs w:val="24"/>
        </w:rPr>
        <w:t>Results</w:t>
      </w:r>
    </w:p>
    <w:p w14:paraId="05B20DC8"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ANOVA conducted on the ranking position of the focal hotel revealed that the variation in the number of items had a significant effect (</w:t>
      </w:r>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(1, 400)</w:t>
      </w:r>
      <w:r>
        <w:rPr>
          <w:rFonts w:ascii="Times New Roman" w:eastAsia="Times New Roman" w:hAnsi="Times New Roman" w:cs="Times New Roman"/>
          <w:sz w:val="24"/>
          <w:szCs w:val="24"/>
        </w:rPr>
        <w:t xml:space="preserve"> = 9.894,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.002, Partial</w:t>
      </w:r>
      <w:r>
        <w:rPr>
          <w:rFonts w:ascii="Noto Sans Symbols" w:eastAsia="Noto Sans Symbols" w:hAnsi="Noto Sans Symbols" w:cs="Noto Sans Symbols"/>
          <w:sz w:val="24"/>
          <w:szCs w:val="24"/>
        </w:rPr>
        <w:t xml:space="preserve"> </w:t>
      </w:r>
      <w:r>
        <w:rPr>
          <w:rFonts w:ascii="Noto Sans Symbols" w:eastAsia="Noto Sans Symbols" w:hAnsi="Noto Sans Symbols" w:cs="Noto Sans Symbols"/>
          <w:i/>
          <w:iCs/>
          <w:sz w:val="24"/>
          <w:szCs w:val="24"/>
        </w:rPr>
        <w:t>η</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.024): on </w:t>
      </w:r>
      <w:r>
        <w:rPr>
          <w:rFonts w:ascii="Times New Roman" w:eastAsia="Times New Roman" w:hAnsi="Times New Roman" w:cs="Times New Roman"/>
          <w:sz w:val="24"/>
          <w:szCs w:val="24"/>
        </w:rPr>
        <w:lastRenderedPageBreak/>
        <w:t>average, rooms with subtractive conditions were ranked as more sustainable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3.72, SD = 1.31) than those with additive conditions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4.05, SD = 1.10). The type of room was also significant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1, 400)</w:t>
      </w:r>
      <w:r>
        <w:rPr>
          <w:rFonts w:ascii="Times New Roman" w:eastAsia="Times New Roman" w:hAnsi="Times New Roman" w:cs="Times New Roman"/>
          <w:sz w:val="24"/>
          <w:szCs w:val="24"/>
        </w:rPr>
        <w:t xml:space="preserve"> = 24.476,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Partial </w:t>
      </w:r>
      <w:r>
        <w:rPr>
          <w:rFonts w:ascii="Noto Sans Symbols" w:eastAsia="Noto Sans Symbols" w:hAnsi="Noto Sans Symbols" w:cs="Noto Sans Symbols"/>
          <w:i/>
          <w:iCs/>
          <w:sz w:val="24"/>
          <w:szCs w:val="24"/>
        </w:rPr>
        <w:t>η</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.058): on average, the focal hotel was ranked higher when among traditional hotels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3.60, SD = 1.29) than when among eco-friendly ones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4.16, SD =1.09). Most importantly, the analysis revealed a significant interaction between the two factors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1, 400)</w:t>
      </w:r>
      <w:r>
        <w:rPr>
          <w:rFonts w:ascii="Times New Roman" w:eastAsia="Times New Roman" w:hAnsi="Times New Roman" w:cs="Times New Roman"/>
          <w:sz w:val="24"/>
          <w:szCs w:val="24"/>
        </w:rPr>
        <w:t xml:space="preserve"> = 37.080,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.085), indicating that the effect of the number of items depended on the type of room. Planned contrasts tests showed that when the rooms were eco-friendly, the room with additional components was ranked significantly higher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3.98, SD = 1.08) than that with fewer components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4.31, SD = 1.08,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397)</w:t>
      </w:r>
      <w:r>
        <w:rPr>
          <w:rFonts w:ascii="Times New Roman" w:eastAsia="Times New Roman" w:hAnsi="Times New Roman" w:cs="Times New Roman"/>
          <w:sz w:val="24"/>
          <w:szCs w:val="24"/>
        </w:rPr>
        <w:t xml:space="preserve"> = –2.086,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.038). Conversely, when the room was traditional, the hotel room with additional amenities scored significantly lower in the ranking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4.11, SD = 1.13) than that under subtractive condition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3.06, SD = 1.24;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397)</w:t>
      </w:r>
      <w:r>
        <w:rPr>
          <w:rFonts w:ascii="Times New Roman" w:eastAsia="Times New Roman" w:hAnsi="Times New Roman" w:cs="Times New Roman"/>
          <w:sz w:val="24"/>
          <w:szCs w:val="24"/>
        </w:rPr>
        <w:t xml:space="preserve"> = 6.515,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This latter (subtractive, traditional) was on average the best-ranked of the focal rooms. Consumers therefore recognize that removing components can increase the sustainability of an offering, yet neglect this rationale for offerings positioned as inherently eco-friendly, where the sustainable additive bias leads them to rank offers with more components as more sustainable. </w:t>
      </w:r>
    </w:p>
    <w:p w14:paraId="05B20DC9"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Study 4 thus supports that adding eco-friendly components raises perceived sustainability, whereas adding traditional ones lowers it. Because Studies 1 to 4 all involved services, it remains open whether the bias extends to tangible products; Study 5 tests whether it does.</w:t>
      </w:r>
    </w:p>
    <w:p w14:paraId="7118F3CC" w14:textId="77777777" w:rsidR="00D3792A" w:rsidRDefault="00D3792A">
      <w:pPr>
        <w:spacing w:line="480" w:lineRule="auto"/>
        <w:jc w:val="both"/>
        <w:rPr>
          <w:rFonts w:ascii="Times New Roman" w:eastAsia="Times New Roman" w:hAnsi="Times New Roman" w:cs="Times New Roman"/>
          <w:sz w:val="24"/>
          <w:szCs w:val="24"/>
        </w:rPr>
      </w:pPr>
    </w:p>
    <w:p w14:paraId="05B20DCA" w14:textId="77777777" w:rsidR="00932051" w:rsidRDefault="00525931">
      <w:pPr>
        <w:spacing w:line="48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Study 5 </w:t>
      </w:r>
    </w:p>
    <w:p w14:paraId="05B20DCB"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Studies 1-4 demonstrated the sustainable additive bias under both implicit and explicit manipulations in service contexts. Study 5 extends these findings to tangible consumer product bundles. </w:t>
      </w:r>
    </w:p>
    <w:p w14:paraId="05B20DCC" w14:textId="77777777" w:rsidR="00932051" w:rsidRPr="000460EB" w:rsidRDefault="00525931">
      <w:pPr>
        <w:spacing w:after="0" w:line="480" w:lineRule="auto"/>
        <w:jc w:val="both"/>
        <w:rPr>
          <w:b/>
          <w:bCs/>
        </w:rPr>
      </w:pPr>
      <w:r w:rsidRPr="000460EB">
        <w:rPr>
          <w:rFonts w:ascii="Times New Roman" w:eastAsia="Times New Roman" w:hAnsi="Times New Roman" w:cs="Times New Roman"/>
          <w:b/>
          <w:bCs/>
          <w:sz w:val="24"/>
          <w:szCs w:val="24"/>
        </w:rPr>
        <w:lastRenderedPageBreak/>
        <w:t xml:space="preserve">Design and procedure </w:t>
      </w:r>
    </w:p>
    <w:p w14:paraId="05B20DCD"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total, 397 U.S. females participated in a 2 (number of items: additive vs. subtractive) x 2 (item type: </w:t>
      </w:r>
      <w:r>
        <w:rPr>
          <w:rFonts w:ascii="Times New Roman" w:eastAsia="Times New Roman" w:hAnsi="Times New Roman" w:cs="Times New Roman"/>
          <w:color w:val="000000"/>
          <w:sz w:val="24"/>
          <w:szCs w:val="24"/>
        </w:rPr>
        <w:t xml:space="preserve">eco-friendly </w:t>
      </w:r>
      <w:r>
        <w:rPr>
          <w:rFonts w:ascii="Times New Roman" w:eastAsia="Times New Roman" w:hAnsi="Times New Roman" w:cs="Times New Roman"/>
          <w:sz w:val="24"/>
          <w:szCs w:val="24"/>
        </w:rPr>
        <w:t>vs. traditional) between-subjects pre-registered (</w:t>
      </w:r>
      <w:hyperlink r:id="rId11">
        <w:r>
          <w:rPr>
            <w:rFonts w:ascii="Times New Roman" w:eastAsia="Times New Roman" w:hAnsi="Times New Roman" w:cs="Times New Roman"/>
            <w:color w:val="0563C1"/>
            <w:sz w:val="24"/>
            <w:szCs w:val="24"/>
            <w:u w:val="single"/>
          </w:rPr>
          <w:t>https://aspredicted.org/bc2rt6.pdf</w:t>
        </w:r>
      </w:hyperlink>
      <w:r>
        <w:rPr>
          <w:rFonts w:ascii="Times New Roman" w:eastAsia="Times New Roman" w:hAnsi="Times New Roman" w:cs="Times New Roman"/>
          <w:sz w:val="24"/>
          <w:szCs w:val="24"/>
        </w:rPr>
        <w:t xml:space="preserve">) experimental design. </w:t>
      </w:r>
    </w:p>
    <w:p w14:paraId="05B20DCE"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were presented with two summer haircare sets. They first saw the 2024 set, comprising a shampoo, a conditioner, a leave-in treatment, and a purse, and then a 2025 set that differed by condition: the additive set added a comb to the 2024 four-item set, while the subtractive set removed the purse.</w:t>
      </w:r>
    </w:p>
    <w:p w14:paraId="05B20DCF"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also manipulated the eco-friendly positioning of the products. In the eco-friendly condition, the haircare products were described as made from organic, sustainably sourced ingredients, the purse as produced from recycled materials, and the added comb as made of certified sustainable bamboo. In the traditional condition, no eco-friendly information was provided and both the purse and the comb were described as plastic.</w:t>
      </w:r>
    </w:p>
    <w:p w14:paraId="05B20DD0"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viewing both sets, participants judged the sustainability of the new set and reported their attitudes toward the brand. Manipulation checks confirmed both factors: participants in the eco-friendly condition were more likely to indicate that the products were made from organic ingredients (</w:t>
      </w:r>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rPr>
        <w:t xml:space="preserve"> = 275.680,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eco-</w:t>
      </w:r>
      <w:proofErr w:type="gramStart"/>
      <w:r>
        <w:rPr>
          <w:rFonts w:ascii="Times New Roman" w:eastAsia="Times New Roman" w:hAnsi="Times New Roman" w:cs="Times New Roman"/>
          <w:sz w:val="24"/>
          <w:szCs w:val="24"/>
          <w:vertAlign w:val="subscript"/>
        </w:rPr>
        <w:t>friendly</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6.12, SD = .92;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traditional</w:t>
      </w:r>
      <w:proofErr w:type="spellEnd"/>
      <w:r>
        <w:rPr>
          <w:rFonts w:ascii="Times New Roman" w:eastAsia="Times New Roman" w:hAnsi="Times New Roman" w:cs="Times New Roman"/>
          <w:sz w:val="24"/>
          <w:szCs w:val="24"/>
        </w:rPr>
        <w:t xml:space="preserve"> = 4.28, SD = 1.26) and the purse from recycled materials (</w:t>
      </w:r>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rPr>
        <w:t xml:space="preserve"> = 349.283,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eco-</w:t>
      </w:r>
      <w:proofErr w:type="gramStart"/>
      <w:r>
        <w:rPr>
          <w:rFonts w:ascii="Times New Roman" w:eastAsia="Times New Roman" w:hAnsi="Times New Roman" w:cs="Times New Roman"/>
          <w:sz w:val="24"/>
          <w:szCs w:val="24"/>
          <w:vertAlign w:val="subscript"/>
        </w:rPr>
        <w:t>friendly</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5.99, SD = 1.22;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traditional</w:t>
      </w:r>
      <w:proofErr w:type="spellEnd"/>
      <w:r>
        <w:rPr>
          <w:rFonts w:ascii="Times New Roman" w:eastAsia="Times New Roman" w:hAnsi="Times New Roman" w:cs="Times New Roman"/>
          <w:sz w:val="24"/>
          <w:szCs w:val="24"/>
        </w:rPr>
        <w:t xml:space="preserve"> = 3.32, SD = 1.60) than those in the traditional condition. Likewise, participants in the subtractive condition were more likely to indicate that the new set included fewer items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2.10, SD = 1.48) than those in the additive condition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6.36, SD = .91; </w:t>
      </w:r>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rPr>
        <w:t xml:space="preserve"> = 1188.054,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w:t>
      </w:r>
    </w:p>
    <w:p w14:paraId="05B20DD1" w14:textId="77777777" w:rsidR="00932051" w:rsidRPr="000460EB" w:rsidRDefault="00525931">
      <w:pPr>
        <w:spacing w:after="0" w:line="480" w:lineRule="auto"/>
        <w:jc w:val="both"/>
        <w:rPr>
          <w:rFonts w:ascii="Times New Roman" w:eastAsia="Times New Roman" w:hAnsi="Times New Roman" w:cs="Times New Roman"/>
          <w:b/>
          <w:bCs/>
          <w:sz w:val="24"/>
          <w:szCs w:val="24"/>
        </w:rPr>
      </w:pPr>
      <w:r w:rsidRPr="000460EB">
        <w:rPr>
          <w:rFonts w:ascii="Times New Roman" w:eastAsia="Times New Roman" w:hAnsi="Times New Roman" w:cs="Times New Roman"/>
          <w:b/>
          <w:bCs/>
          <w:sz w:val="24"/>
          <w:szCs w:val="24"/>
        </w:rPr>
        <w:t>Results</w:t>
      </w:r>
    </w:p>
    <w:p w14:paraId="05B20DD2"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ANOVA revealed item type to have a significant effect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 xml:space="preserve">1, </w:t>
      </w:r>
      <w:proofErr w:type="gramStart"/>
      <w:r>
        <w:rPr>
          <w:rFonts w:ascii="Times New Roman" w:eastAsia="Times New Roman" w:hAnsi="Times New Roman" w:cs="Times New Roman"/>
          <w:sz w:val="24"/>
          <w:szCs w:val="24"/>
          <w:vertAlign w:val="subscript"/>
        </w:rPr>
        <w:t>396)</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72.138,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Partial </w:t>
      </w:r>
      <w:r>
        <w:rPr>
          <w:rFonts w:ascii="Noto Sans Symbols" w:eastAsia="Noto Sans Symbols" w:hAnsi="Noto Sans Symbols" w:cs="Noto Sans Symbols"/>
          <w:i/>
          <w:iCs/>
          <w:sz w:val="24"/>
          <w:szCs w:val="24"/>
        </w:rPr>
        <w:t>η</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.155): the brand was judged as more sustainable when the set was eco-friendly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5.57, </w:t>
      </w:r>
      <w:r>
        <w:rPr>
          <w:rFonts w:ascii="Times New Roman" w:eastAsia="Times New Roman" w:hAnsi="Times New Roman" w:cs="Times New Roman"/>
          <w:sz w:val="24"/>
          <w:szCs w:val="24"/>
        </w:rPr>
        <w:lastRenderedPageBreak/>
        <w:t>SD = 1.29) than when it was traditional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4.45, SD = 1.54). The number of items factor was not significant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1, 396)</w:t>
      </w:r>
      <w:r>
        <w:rPr>
          <w:rFonts w:ascii="Times New Roman" w:eastAsia="Times New Roman" w:hAnsi="Times New Roman" w:cs="Times New Roman"/>
          <w:sz w:val="24"/>
          <w:szCs w:val="24"/>
        </w:rPr>
        <w:t xml:space="preserve"> = 1.440,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.231) but there was a significant interaction effect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1, 396)</w:t>
      </w:r>
      <w:r>
        <w:rPr>
          <w:rFonts w:ascii="Times New Roman" w:eastAsia="Times New Roman" w:hAnsi="Times New Roman" w:cs="Times New Roman"/>
          <w:sz w:val="24"/>
          <w:szCs w:val="24"/>
        </w:rPr>
        <w:t xml:space="preserve"> = 69.552,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Partial </w:t>
      </w:r>
      <w:r>
        <w:rPr>
          <w:rFonts w:ascii="Noto Sans Symbols" w:eastAsia="Noto Sans Symbols" w:hAnsi="Noto Sans Symbols" w:cs="Noto Sans Symbols"/>
          <w:i/>
          <w:iCs/>
          <w:sz w:val="24"/>
          <w:szCs w:val="24"/>
        </w:rPr>
        <w:t>η</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.150). Specifically, as illustrated in left-chart of Figure 2, we found that when the set was eco-friendly, the additive condition was judged as more sustainable than the subtractive condition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6.03, SD = .95;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5.09, SD = 1.42;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393)</w:t>
      </w:r>
      <w:r>
        <w:rPr>
          <w:rFonts w:ascii="Times New Roman" w:eastAsia="Times New Roman" w:hAnsi="Times New Roman" w:cs="Times New Roman"/>
          <w:sz w:val="24"/>
          <w:szCs w:val="24"/>
        </w:rPr>
        <w:t xml:space="preserve"> = 5.068,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whereas the reverse was true when the set was traditional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5.07, SD = 1.39;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3.82, SD = 1.43;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393)</w:t>
      </w:r>
      <w:r>
        <w:rPr>
          <w:rFonts w:ascii="Times New Roman" w:eastAsia="Times New Roman" w:hAnsi="Times New Roman" w:cs="Times New Roman"/>
          <w:sz w:val="24"/>
          <w:szCs w:val="24"/>
        </w:rPr>
        <w:t xml:space="preserve"> = -6.720,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Between the two additive conditions, the eco-friendly set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6.03, SD = .95) was judged to be more sustainable than the traditional set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3.82, SD = 1.43;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393)</w:t>
      </w:r>
      <w:r>
        <w:rPr>
          <w:rFonts w:ascii="Times New Roman" w:eastAsia="Times New Roman" w:hAnsi="Times New Roman" w:cs="Times New Roman"/>
          <w:sz w:val="24"/>
          <w:szCs w:val="24"/>
        </w:rPr>
        <w:t xml:space="preserve"> = 11.917,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but there was no significant difference in such judgments between the two subtractive conditions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393)</w:t>
      </w:r>
      <w:r>
        <w:rPr>
          <w:rFonts w:ascii="Times New Roman" w:eastAsia="Times New Roman" w:hAnsi="Times New Roman" w:cs="Times New Roman"/>
          <w:sz w:val="24"/>
          <w:szCs w:val="24"/>
        </w:rPr>
        <w:t xml:space="preserve"> = .109,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.914).</w:t>
      </w:r>
    </w:p>
    <w:p w14:paraId="05B20DD3"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Item type also had a significant effect on attitudes to the brand, showing that the eco-friendly haircare sets generated more positive attitudes toward the brand than the traditional ones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eco-friendly</w:t>
      </w:r>
      <w:r>
        <w:rPr>
          <w:rFonts w:ascii="Times New Roman" w:eastAsia="Times New Roman" w:hAnsi="Times New Roman" w:cs="Times New Roman"/>
          <w:sz w:val="24"/>
          <w:szCs w:val="24"/>
        </w:rPr>
        <w:t xml:space="preserve"> = 5.50, SD = 1.40;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traditional</w:t>
      </w:r>
      <w:proofErr w:type="spellEnd"/>
      <w:r>
        <w:rPr>
          <w:rFonts w:ascii="Times New Roman" w:eastAsia="Times New Roman" w:hAnsi="Times New Roman" w:cs="Times New Roman"/>
          <w:sz w:val="24"/>
          <w:szCs w:val="24"/>
        </w:rPr>
        <w:t xml:space="preserve"> = 5.18, SD = 1.40;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1, 396)</w:t>
      </w:r>
      <w:r>
        <w:rPr>
          <w:rFonts w:ascii="Times New Roman" w:eastAsia="Times New Roman" w:hAnsi="Times New Roman" w:cs="Times New Roman"/>
          <w:sz w:val="24"/>
          <w:szCs w:val="24"/>
        </w:rPr>
        <w:t xml:space="preserve"> = 5.346,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.021, Partial </w:t>
      </w:r>
      <w:r>
        <w:rPr>
          <w:rFonts w:ascii="Noto Sans Symbols" w:eastAsia="Noto Sans Symbols" w:hAnsi="Noto Sans Symbols" w:cs="Noto Sans Symbols"/>
          <w:i/>
          <w:iCs/>
          <w:sz w:val="24"/>
          <w:szCs w:val="24"/>
        </w:rPr>
        <w:t>η</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.013). The number of items was also significant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1, 396)</w:t>
      </w:r>
      <w:r>
        <w:rPr>
          <w:rFonts w:ascii="Times New Roman" w:eastAsia="Times New Roman" w:hAnsi="Times New Roman" w:cs="Times New Roman"/>
          <w:sz w:val="24"/>
          <w:szCs w:val="24"/>
        </w:rPr>
        <w:t xml:space="preserve"> = 14.468,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Partial </w:t>
      </w:r>
      <w:r>
        <w:rPr>
          <w:rFonts w:ascii="Noto Sans Symbols" w:eastAsia="Noto Sans Symbols" w:hAnsi="Noto Sans Symbols" w:cs="Noto Sans Symbols"/>
          <w:i/>
          <w:iCs/>
          <w:sz w:val="24"/>
          <w:szCs w:val="24"/>
        </w:rPr>
        <w:t>η</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.036), producing more positive attitudes toward the brand when the new haircare set contained additional items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5.60, SD = 1.27) than when it contained fewer items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5.08, SD = 1.50). The interaction effect was also significant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1, 396)</w:t>
      </w:r>
      <w:r>
        <w:rPr>
          <w:rFonts w:ascii="Times New Roman" w:eastAsia="Times New Roman" w:hAnsi="Times New Roman" w:cs="Times New Roman"/>
          <w:sz w:val="24"/>
          <w:szCs w:val="24"/>
        </w:rPr>
        <w:t xml:space="preserve"> = 5.011,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.026, Partial </w:t>
      </w:r>
      <w:r>
        <w:rPr>
          <w:rFonts w:ascii="Noto Sans Symbols" w:eastAsia="Noto Sans Symbols" w:hAnsi="Noto Sans Symbols" w:cs="Noto Sans Symbols"/>
          <w:i/>
          <w:iCs/>
          <w:sz w:val="24"/>
          <w:szCs w:val="24"/>
        </w:rPr>
        <w:t>η</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.013). Contrasts tests (see the right-chart of Figure 2) showed that when the set was eco-friendly, brand attitudes were more positive for the additive condition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5.91, SD = 1.21) than the subtractive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5.08, SD = 1.46;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393)</w:t>
      </w:r>
      <w:r>
        <w:rPr>
          <w:rFonts w:ascii="Times New Roman" w:eastAsia="Times New Roman" w:hAnsi="Times New Roman" w:cs="Times New Roman"/>
          <w:sz w:val="24"/>
          <w:szCs w:val="24"/>
        </w:rPr>
        <w:t xml:space="preserve"> = 4.289,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but this was not the case for the traditional set, where there was no significant difference in the attitudes between the two conditions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393)</w:t>
      </w:r>
      <w:r>
        <w:rPr>
          <w:rFonts w:ascii="Times New Roman" w:eastAsia="Times New Roman" w:hAnsi="Times New Roman" w:cs="Times New Roman"/>
          <w:sz w:val="24"/>
          <w:szCs w:val="24"/>
        </w:rPr>
        <w:t xml:space="preserve"> = 1.103,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.271). Again, between the two additive conditions, the eco-friendly set generated more positive brand attitudes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5.91, SD = 1.21) than the traditional set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5.29, SD = 1.25;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393)</w:t>
      </w:r>
      <w:r>
        <w:rPr>
          <w:rFonts w:ascii="Times New Roman" w:eastAsia="Times New Roman" w:hAnsi="Times New Roman" w:cs="Times New Roman"/>
          <w:sz w:val="24"/>
          <w:szCs w:val="24"/>
        </w:rPr>
        <w:t xml:space="preserve"> = 3.222,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.001), but there was no significant difference in the brand attitudes between the two subtractive conditions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393)</w:t>
      </w:r>
      <w:r>
        <w:rPr>
          <w:rFonts w:ascii="Times New Roman" w:eastAsia="Times New Roman" w:hAnsi="Times New Roman" w:cs="Times New Roman"/>
          <w:sz w:val="24"/>
          <w:szCs w:val="24"/>
        </w:rPr>
        <w:t xml:space="preserve"> = .052,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.959).</w:t>
      </w:r>
    </w:p>
    <w:p w14:paraId="05B20DD6" w14:textId="77777777" w:rsidR="00932051" w:rsidRDefault="00525931">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5B20E95" wp14:editId="3FBF2EC7">
            <wp:extent cx="5808711" cy="1911985"/>
            <wp:effectExtent l="0" t="0" r="1905"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12"/>
                    <a:srcRect l="1390" t="2587" r="833"/>
                    <a:stretch>
                      <a:fillRect/>
                    </a:stretch>
                  </pic:blipFill>
                  <pic:spPr bwMode="auto">
                    <a:xfrm>
                      <a:off x="0" y="0"/>
                      <a:ext cx="5811470" cy="1912893"/>
                    </a:xfrm>
                    <a:prstGeom prst="rect">
                      <a:avLst/>
                    </a:prstGeom>
                    <a:ln>
                      <a:noFill/>
                    </a:ln>
                    <a:extLst>
                      <a:ext uri="{53640926-AAD7-44D8-BBD7-CCE9431645EC}">
                        <a14:shadowObscured xmlns:a14="http://schemas.microsoft.com/office/drawing/2010/main"/>
                      </a:ext>
                    </a:extLst>
                  </pic:spPr>
                </pic:pic>
              </a:graphicData>
            </a:graphic>
          </wp:inline>
        </w:drawing>
      </w:r>
    </w:p>
    <w:p w14:paraId="05B20DD7" w14:textId="1061CCF6"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Fig</w:t>
      </w:r>
      <w:r w:rsidR="00D3792A">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2 </w:t>
      </w:r>
      <w:r w:rsidRPr="00D3792A">
        <w:rPr>
          <w:rFonts w:ascii="Times New Roman" w:eastAsia="Times New Roman" w:hAnsi="Times New Roman" w:cs="Times New Roman"/>
          <w:sz w:val="24"/>
          <w:szCs w:val="24"/>
        </w:rPr>
        <w:t xml:space="preserve">Means of </w:t>
      </w:r>
      <w:r w:rsidR="00056E57" w:rsidRPr="00D3792A">
        <w:rPr>
          <w:rFonts w:ascii="Times New Roman" w:eastAsia="Times New Roman" w:hAnsi="Times New Roman" w:cs="Times New Roman"/>
          <w:sz w:val="24"/>
          <w:szCs w:val="24"/>
        </w:rPr>
        <w:t>sustainability judgments (left) and attitudes (right) between experimental condition</w:t>
      </w:r>
      <w:r w:rsidRPr="00D3792A">
        <w:rPr>
          <w:rFonts w:ascii="Times New Roman" w:eastAsia="Times New Roman" w:hAnsi="Times New Roman" w:cs="Times New Roman"/>
          <w:sz w:val="24"/>
          <w:szCs w:val="24"/>
        </w:rPr>
        <w:t>s of Study 5</w:t>
      </w:r>
    </w:p>
    <w:p w14:paraId="7A880BC4" w14:textId="77777777" w:rsidR="008019F7" w:rsidRDefault="008019F7">
      <w:pPr>
        <w:spacing w:after="0" w:line="480" w:lineRule="auto"/>
        <w:jc w:val="both"/>
        <w:rPr>
          <w:rFonts w:ascii="Times New Roman" w:eastAsia="Times New Roman" w:hAnsi="Times New Roman" w:cs="Times New Roman"/>
          <w:b/>
          <w:bCs/>
          <w:sz w:val="24"/>
          <w:szCs w:val="24"/>
        </w:rPr>
      </w:pPr>
    </w:p>
    <w:p w14:paraId="05B20DD8"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Study 5 replicates the effect with physical products, confirming that the bias generalizes beyond services. Its design, however, relies on a fixed reference point: because the same original bundle anchors both conditions, the item added necessarily differs from the item removed, so the effect could partly reflect the specific item rather than the direction of change. Study 6 addresses this with a flexible reference point, adding or removing the same item across conditions.</w:t>
      </w:r>
    </w:p>
    <w:p w14:paraId="1C513BB4" w14:textId="77777777" w:rsidR="008019F7" w:rsidRDefault="008019F7">
      <w:pPr>
        <w:spacing w:after="0" w:line="480" w:lineRule="auto"/>
        <w:jc w:val="both"/>
        <w:rPr>
          <w:rFonts w:ascii="Times New Roman" w:eastAsia="Times New Roman" w:hAnsi="Times New Roman" w:cs="Times New Roman"/>
          <w:b/>
          <w:bCs/>
          <w:sz w:val="28"/>
          <w:szCs w:val="28"/>
        </w:rPr>
      </w:pPr>
    </w:p>
    <w:p w14:paraId="05B20DD9" w14:textId="77777777" w:rsidR="00932051" w:rsidRDefault="00525931">
      <w:pPr>
        <w:spacing w:after="0" w:line="48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Study 6</w:t>
      </w:r>
    </w:p>
    <w:p w14:paraId="05B20DDA" w14:textId="77777777" w:rsidR="00932051" w:rsidRDefault="005259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Study 6 tests perceived corporate environmental effort as the mechanism underlying the bias (H2). Both experiments adopt a flexible reference point design, in which the number of items varies across conditions but the same item is added or removed, ensuring that any difference in outcomes reflects the variation in number rather than the item itself. Study 6b additionally measures perceived impact: building on research showing that individuals use effort as a signal of value even when actual outcomes are equivalent (Kruger et al., 2004), we expect perceived environmental effort to drive sustainability judgment more strongly than perceived impact.</w:t>
      </w:r>
    </w:p>
    <w:p w14:paraId="05B20DDB" w14:textId="77777777" w:rsidR="00932051" w:rsidRDefault="005259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8"/>
          <w:szCs w:val="28"/>
        </w:rPr>
        <w:t>Study 6a</w:t>
      </w:r>
    </w:p>
    <w:p w14:paraId="05B20DDC" w14:textId="77777777" w:rsidR="00932051" w:rsidRPr="000460EB" w:rsidRDefault="00525931">
      <w:pPr>
        <w:spacing w:after="0" w:line="480" w:lineRule="auto"/>
        <w:jc w:val="both"/>
        <w:rPr>
          <w:rFonts w:ascii="Times New Roman" w:eastAsia="Times New Roman" w:hAnsi="Times New Roman" w:cs="Times New Roman"/>
          <w:b/>
          <w:bCs/>
          <w:sz w:val="24"/>
          <w:szCs w:val="24"/>
        </w:rPr>
      </w:pPr>
      <w:r w:rsidRPr="000460EB">
        <w:rPr>
          <w:rFonts w:ascii="Times New Roman" w:eastAsia="Times New Roman" w:hAnsi="Times New Roman" w:cs="Times New Roman"/>
          <w:b/>
          <w:bCs/>
          <w:sz w:val="24"/>
          <w:szCs w:val="24"/>
        </w:rPr>
        <w:lastRenderedPageBreak/>
        <w:t>Design and Procedure</w:t>
      </w:r>
    </w:p>
    <w:p w14:paraId="05B20DDD"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total, 400 U.S. participants were recruited through </w:t>
      </w:r>
      <w:proofErr w:type="spellStart"/>
      <w:r>
        <w:rPr>
          <w:rFonts w:ascii="Times New Roman" w:eastAsia="Times New Roman" w:hAnsi="Times New Roman" w:cs="Times New Roman"/>
          <w:sz w:val="24"/>
          <w:szCs w:val="24"/>
        </w:rPr>
        <w:t>ProA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age</w:t>
      </w:r>
      <w:r>
        <w:rPr>
          <w:rFonts w:ascii="Times New Roman" w:eastAsia="Times New Roman" w:hAnsi="Times New Roman" w:cs="Times New Roman"/>
          <w:sz w:val="24"/>
          <w:szCs w:val="24"/>
        </w:rPr>
        <w:t xml:space="preserve"> = 43.7; 52.6% female) and randomly assigned to a 2 (item type: eco-friendly vs. traditional) × 2 (item number: addition vs. subtraction) between-subjects design (pre-registration: </w:t>
      </w:r>
      <w:hyperlink r:id="rId13">
        <w:r>
          <w:rPr>
            <w:rFonts w:ascii="Times New Roman" w:eastAsia="Times New Roman" w:hAnsi="Times New Roman" w:cs="Times New Roman"/>
            <w:color w:val="0563C1"/>
            <w:sz w:val="24"/>
            <w:szCs w:val="24"/>
            <w:u w:val="single"/>
          </w:rPr>
          <w:t>https://aspredicted.org/9cc2cx.pdf</w:t>
        </w:r>
      </w:hyperlink>
      <w:r>
        <w:rPr>
          <w:rFonts w:ascii="Times New Roman" w:eastAsia="Times New Roman" w:hAnsi="Times New Roman" w:cs="Times New Roman"/>
          <w:sz w:val="24"/>
          <w:szCs w:val="24"/>
        </w:rPr>
        <w:t xml:space="preserve"> ).</w:t>
      </w:r>
    </w:p>
    <w:p w14:paraId="05B20DDE"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Participants evaluated a new limited-edition box from a tea brand. In the additive condition, they were told that the brand's </w:t>
      </w:r>
      <w:proofErr w:type="gramStart"/>
      <w:r>
        <w:rPr>
          <w:rFonts w:ascii="Times New Roman" w:eastAsia="Times New Roman" w:hAnsi="Times New Roman" w:cs="Times New Roman"/>
          <w:sz w:val="24"/>
          <w:szCs w:val="24"/>
        </w:rPr>
        <w:t>limited edition</w:t>
      </w:r>
      <w:proofErr w:type="gramEnd"/>
      <w:r>
        <w:rPr>
          <w:rFonts w:ascii="Times New Roman" w:eastAsia="Times New Roman" w:hAnsi="Times New Roman" w:cs="Times New Roman"/>
          <w:sz w:val="24"/>
          <w:szCs w:val="24"/>
        </w:rPr>
        <w:t xml:space="preserve"> box usually consists of two tea or herbal infusion flavors, to which a set of tea-brew filters had been added; in the subtractive condition, that it usually consists of two flavors plus tea-brew filters, which had been removed. The scenarios included visuals (see Appendix A) emphasizing the addition or subtraction of the filters.</w:t>
      </w:r>
    </w:p>
    <w:p w14:paraId="05B20DDF"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Eco-friendliness also varied: in the eco-friendly condition the tea was presented as organic and the filters as reusable and made from unbleached cotton; in the traditional condition no eco-friendliness was mentioned and the filters were disposable and made from nylon. Participants then judged the sustainability of the new edition, reported their attitudes toward it, and assessed the brand’s perceived environmental effort. </w:t>
      </w:r>
    </w:p>
    <w:p w14:paraId="05B20DE0" w14:textId="77777777" w:rsidR="00932051" w:rsidRDefault="00525931">
      <w:pPr>
        <w:spacing w:after="0" w:line="480" w:lineRule="auto"/>
      </w:pPr>
      <w:r>
        <w:rPr>
          <w:rFonts w:ascii="Times New Roman" w:eastAsia="Times New Roman" w:hAnsi="Times New Roman" w:cs="Times New Roman"/>
          <w:sz w:val="24"/>
          <w:szCs w:val="24"/>
        </w:rPr>
        <w:t>Manipulation checks were effective. Participants in the additive condition indicated that filters had been added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5.89, SD = 1.32), whereas those in the subtractive condition indicated that filters had been removed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2.43,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1.97;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1, 398)</w:t>
      </w:r>
      <w:r>
        <w:rPr>
          <w:rFonts w:ascii="Times New Roman" w:eastAsia="Times New Roman" w:hAnsi="Times New Roman" w:cs="Times New Roman"/>
          <w:sz w:val="24"/>
          <w:szCs w:val="24"/>
        </w:rPr>
        <w:t xml:space="preserve"> = 425.81,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compared to previous editions. Also, participants in the eco-friendly condition rated the filters as significantly more organic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eco-friendly</w:t>
      </w:r>
      <w:r>
        <w:rPr>
          <w:rFonts w:ascii="Times New Roman" w:eastAsia="Times New Roman" w:hAnsi="Times New Roman" w:cs="Times New Roman"/>
          <w:sz w:val="24"/>
          <w:szCs w:val="24"/>
        </w:rPr>
        <w:t xml:space="preserve"> = 6.07, SD = 1.46;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traditional</w:t>
      </w:r>
      <w:proofErr w:type="spellEnd"/>
      <w:r>
        <w:rPr>
          <w:rFonts w:ascii="Times New Roman" w:eastAsia="Times New Roman" w:hAnsi="Times New Roman" w:cs="Times New Roman"/>
          <w:sz w:val="24"/>
          <w:szCs w:val="24"/>
        </w:rPr>
        <w:t xml:space="preserve"> = 3.29, SD = 2.13;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1, 398)</w:t>
      </w:r>
      <w:r>
        <w:rPr>
          <w:rFonts w:ascii="Times New Roman" w:eastAsia="Times New Roman" w:hAnsi="Times New Roman" w:cs="Times New Roman"/>
          <w:sz w:val="24"/>
          <w:szCs w:val="24"/>
        </w:rPr>
        <w:t xml:space="preserve"> = 233.01,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and more reusable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eco-friendly</w:t>
      </w:r>
      <w:r>
        <w:rPr>
          <w:rFonts w:ascii="Times New Roman" w:eastAsia="Times New Roman" w:hAnsi="Times New Roman" w:cs="Times New Roman"/>
          <w:sz w:val="24"/>
          <w:szCs w:val="24"/>
        </w:rPr>
        <w:t xml:space="preserve"> = 5.64, SD = 1.67;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traditional</w:t>
      </w:r>
      <w:proofErr w:type="spellEnd"/>
      <w:r>
        <w:rPr>
          <w:rFonts w:ascii="Times New Roman" w:eastAsia="Times New Roman" w:hAnsi="Times New Roman" w:cs="Times New Roman"/>
          <w:sz w:val="24"/>
          <w:szCs w:val="24"/>
        </w:rPr>
        <w:t xml:space="preserve"> = 4.04, SD = 2.12;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1, 398)</w:t>
      </w:r>
      <w:r>
        <w:rPr>
          <w:rFonts w:ascii="Times New Roman" w:eastAsia="Times New Roman" w:hAnsi="Times New Roman" w:cs="Times New Roman"/>
          <w:sz w:val="24"/>
          <w:szCs w:val="24"/>
        </w:rPr>
        <w:t xml:space="preserve"> = 71.02,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than those in the traditional condition. </w:t>
      </w:r>
    </w:p>
    <w:p w14:paraId="05B20DE1" w14:textId="77777777" w:rsidR="00932051" w:rsidRPr="00056E57" w:rsidRDefault="00525931">
      <w:pPr>
        <w:spacing w:before="240" w:after="0" w:line="480" w:lineRule="auto"/>
      </w:pPr>
      <w:r w:rsidRPr="000460EB">
        <w:rPr>
          <w:rFonts w:ascii="Times New Roman" w:eastAsia="Times New Roman" w:hAnsi="Times New Roman" w:cs="Times New Roman"/>
          <w:b/>
          <w:bCs/>
          <w:sz w:val="24"/>
          <w:szCs w:val="24"/>
        </w:rPr>
        <w:t>Results</w:t>
      </w:r>
    </w:p>
    <w:p w14:paraId="05B20DE2" w14:textId="77777777" w:rsidR="00932051" w:rsidRDefault="00525931">
      <w:pPr>
        <w:spacing w:after="0" w:line="480" w:lineRule="auto"/>
      </w:pPr>
      <w:r>
        <w:rPr>
          <w:rFonts w:ascii="Times New Roman" w:eastAsia="Times New Roman" w:hAnsi="Times New Roman" w:cs="Times New Roman"/>
          <w:sz w:val="24"/>
          <w:szCs w:val="24"/>
        </w:rPr>
        <w:t>A two-way ANOVA with item type and number of items as factors and sustainability judgment as the dependent variable revealed a significant main effect of item type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1, 396)</w:t>
      </w:r>
      <w:r>
        <w:rPr>
          <w:rFonts w:ascii="Times New Roman" w:eastAsia="Times New Roman" w:hAnsi="Times New Roman" w:cs="Times New Roman"/>
          <w:sz w:val="24"/>
          <w:szCs w:val="24"/>
        </w:rPr>
        <w:t xml:space="preserve"> = 9.930,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.002,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 xml:space="preserve">² = .024), with eco-friendly boxes rated as more sustainable than </w:t>
      </w:r>
      <w:r>
        <w:rPr>
          <w:rFonts w:ascii="Times New Roman" w:eastAsia="Times New Roman" w:hAnsi="Times New Roman" w:cs="Times New Roman"/>
          <w:sz w:val="24"/>
          <w:szCs w:val="24"/>
        </w:rPr>
        <w:lastRenderedPageBreak/>
        <w:t>traditional boxes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eco-friendly</w:t>
      </w:r>
      <w:r>
        <w:rPr>
          <w:rFonts w:ascii="Times New Roman" w:eastAsia="Times New Roman" w:hAnsi="Times New Roman" w:cs="Times New Roman"/>
          <w:sz w:val="24"/>
          <w:szCs w:val="24"/>
        </w:rPr>
        <w:t xml:space="preserve"> = 5.53, SD = 1.27;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traditional</w:t>
      </w:r>
      <w:proofErr w:type="spellEnd"/>
      <w:r>
        <w:rPr>
          <w:rFonts w:ascii="Times New Roman" w:eastAsia="Times New Roman" w:hAnsi="Times New Roman" w:cs="Times New Roman"/>
          <w:sz w:val="24"/>
          <w:szCs w:val="24"/>
        </w:rPr>
        <w:t xml:space="preserve"> = 5.11, SD = 1.50). The main effect of the number of items was not significant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.897), but we found a significant interaction effect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1, 396)</w:t>
      </w:r>
      <w:r>
        <w:rPr>
          <w:rFonts w:ascii="Times New Roman" w:eastAsia="Times New Roman" w:hAnsi="Times New Roman" w:cs="Times New Roman"/>
          <w:sz w:val="24"/>
          <w:szCs w:val="24"/>
        </w:rPr>
        <w:t xml:space="preserve"> = 19.476,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.047). Planned contrasts tests showed that between eco-friendly conditions, the additive condition was judged as significantly more sustainable than the subtractive condition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5.83,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1.19;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5.24,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1.28;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396)</w:t>
      </w:r>
      <w:r>
        <w:rPr>
          <w:rFonts w:ascii="Times New Roman" w:eastAsia="Times New Roman" w:hAnsi="Times New Roman" w:cs="Times New Roman"/>
          <w:sz w:val="24"/>
          <w:szCs w:val="24"/>
        </w:rPr>
        <w:t xml:space="preserve"> = 3.097,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.002). Conversely, when the items were traditional, the subtractive condition was judged as more sustainable than the additive condition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5.41,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1.12;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4.80,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1.77;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396)</w:t>
      </w:r>
      <w:r>
        <w:rPr>
          <w:rFonts w:ascii="Times New Roman" w:eastAsia="Times New Roman" w:hAnsi="Times New Roman" w:cs="Times New Roman"/>
          <w:sz w:val="24"/>
          <w:szCs w:val="24"/>
        </w:rPr>
        <w:t xml:space="preserve"> = −3.144,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.002). (Further contrasts tests results about this and the next variables are reported in Appendix B.)</w:t>
      </w:r>
    </w:p>
    <w:p w14:paraId="05B20DE3" w14:textId="77777777" w:rsidR="00932051" w:rsidRDefault="00525931">
      <w:pPr>
        <w:spacing w:after="0" w:line="480" w:lineRule="auto"/>
      </w:pPr>
      <w:r>
        <w:rPr>
          <w:rFonts w:ascii="Times New Roman" w:eastAsia="Times New Roman" w:hAnsi="Times New Roman" w:cs="Times New Roman"/>
          <w:sz w:val="24"/>
          <w:szCs w:val="24"/>
        </w:rPr>
        <w:t>The ANOVA on attitudes toward the brand revealed a significant main effect of the number of items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1, 396)</w:t>
      </w:r>
      <w:r>
        <w:rPr>
          <w:rFonts w:ascii="Times New Roman" w:eastAsia="Times New Roman" w:hAnsi="Times New Roman" w:cs="Times New Roman"/>
          <w:sz w:val="24"/>
          <w:szCs w:val="24"/>
        </w:rPr>
        <w:t xml:space="preserve"> = 5.317,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.022,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.013), reflecting more positive brand attitudes in the additive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5.57, SD = 1.42) than in the subtractive conditions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=5.25, SD = 1.30) overall. The main effect of the item type was not significant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.781), but we found a significant interaction effect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1, 396)</w:t>
      </w:r>
      <w:r>
        <w:rPr>
          <w:rFonts w:ascii="Times New Roman" w:eastAsia="Times New Roman" w:hAnsi="Times New Roman" w:cs="Times New Roman"/>
          <w:sz w:val="24"/>
          <w:szCs w:val="24"/>
        </w:rPr>
        <w:t xml:space="preserve"> = 8.577,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.004,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.021). When the items were eco-friendly, attitudes were significantly more positive in the additive condition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5.78,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1.22) than in the subtractive condition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5.08,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1.38;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396)</w:t>
      </w:r>
      <w:r>
        <w:rPr>
          <w:rFonts w:ascii="Times New Roman" w:eastAsia="Times New Roman" w:hAnsi="Times New Roman" w:cs="Times New Roman"/>
          <w:sz w:val="24"/>
          <w:szCs w:val="24"/>
        </w:rPr>
        <w:t xml:space="preserve"> = 3.739,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By contrast, when the items were traditional, attitudes did not significantly differ between conditions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.663).</w:t>
      </w:r>
    </w:p>
    <w:p w14:paraId="05B20DE4" w14:textId="77777777" w:rsidR="00932051" w:rsidRDefault="00525931">
      <w:pPr>
        <w:spacing w:before="160" w:after="80" w:line="480" w:lineRule="auto"/>
      </w:pPr>
      <w:r>
        <w:rPr>
          <w:rFonts w:ascii="Times New Roman" w:eastAsia="Times New Roman" w:hAnsi="Times New Roman" w:cs="Times New Roman"/>
          <w:sz w:val="24"/>
          <w:szCs w:val="24"/>
        </w:rPr>
        <w:t>The analysis on perceived corporate environmental effort revealed a significant main effect of the type of item, with higher means for the eco-friendly box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eco-friendly</w:t>
      </w:r>
      <w:r>
        <w:rPr>
          <w:rFonts w:ascii="Times New Roman" w:eastAsia="Times New Roman" w:hAnsi="Times New Roman" w:cs="Times New Roman"/>
          <w:sz w:val="24"/>
          <w:szCs w:val="24"/>
        </w:rPr>
        <w:t xml:space="preserve"> = 5.52, SD = 1.25;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traditional</w:t>
      </w:r>
      <w:proofErr w:type="spellEnd"/>
      <w:r>
        <w:rPr>
          <w:rFonts w:ascii="Times New Roman" w:eastAsia="Times New Roman" w:hAnsi="Times New Roman" w:cs="Times New Roman"/>
          <w:sz w:val="24"/>
          <w:szCs w:val="24"/>
        </w:rPr>
        <w:t xml:space="preserve"> = 4.99, SD = 1.56;</w:t>
      </w:r>
      <w:r>
        <w:rPr>
          <w:rFonts w:ascii="Times New Roman" w:eastAsia="Times New Roman" w:hAnsi="Times New Roman" w:cs="Times New Roman"/>
          <w:i/>
          <w:iCs/>
          <w:sz w:val="24"/>
          <w:szCs w:val="24"/>
        </w:rPr>
        <w:t xml:space="preserve">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1, 396)</w:t>
      </w:r>
      <w:r>
        <w:rPr>
          <w:rFonts w:ascii="Times New Roman" w:eastAsia="Times New Roman" w:hAnsi="Times New Roman" w:cs="Times New Roman"/>
          <w:sz w:val="24"/>
          <w:szCs w:val="24"/>
        </w:rPr>
        <w:t xml:space="preserve"> = 15.164,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.037). The main effect of the number of items was not significant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.500), but there was a significant interaction effect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1, 396)</w:t>
      </w:r>
      <w:r>
        <w:rPr>
          <w:rFonts w:ascii="Times New Roman" w:eastAsia="Times New Roman" w:hAnsi="Times New Roman" w:cs="Times New Roman"/>
          <w:sz w:val="24"/>
          <w:szCs w:val="24"/>
        </w:rPr>
        <w:t xml:space="preserve"> = 19.886,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.048). When the items were eco-friendly, the additive condition significantly increased the perceived corporate environmental effort compared to the subtractive condition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5.88,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1.12;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5.17,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lastRenderedPageBreak/>
        <w:t xml:space="preserve">1.27;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396)</w:t>
      </w:r>
      <w:r>
        <w:rPr>
          <w:rFonts w:ascii="Times New Roman" w:eastAsia="Times New Roman" w:hAnsi="Times New Roman" w:cs="Times New Roman"/>
          <w:sz w:val="24"/>
          <w:szCs w:val="24"/>
        </w:rPr>
        <w:t xml:space="preserve"> = 3.668,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Conversely, when items were traditional, the subtractive condition significantly increased the perceived corporate environmental effort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5.25,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1.26;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4.73,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1.78;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396)</w:t>
      </w:r>
      <w:r>
        <w:rPr>
          <w:rFonts w:ascii="Times New Roman" w:eastAsia="Times New Roman" w:hAnsi="Times New Roman" w:cs="Times New Roman"/>
          <w:sz w:val="24"/>
          <w:szCs w:val="24"/>
        </w:rPr>
        <w:t xml:space="preserve"> = −2.649,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.008).</w:t>
      </w:r>
    </w:p>
    <w:p w14:paraId="05B20DE5" w14:textId="4A2A6BC3" w:rsidR="00932051" w:rsidRDefault="0052593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Moreover, we conducted a moderated mediation analysis (PROCESS Model 7; Hayes, 2022) with 10,000 bootstrap resamples to test whether perceived corporate environmental effort mediates the relationship between the number of items and sustainability judgment, and whether this mediation is moderated by item type (H2). Number of items was entered as </w:t>
      </w:r>
      <w:r>
        <w:rPr>
          <w:rFonts w:ascii="Times New Roman" w:eastAsia="Times New Roman" w:hAnsi="Times New Roman" w:cs="Times New Roman"/>
          <w:i/>
          <w:iCs/>
          <w:sz w:val="24"/>
          <w:szCs w:val="24"/>
        </w:rPr>
        <w:t>X</w:t>
      </w:r>
      <w:r>
        <w:rPr>
          <w:rFonts w:ascii="Times New Roman" w:eastAsia="Times New Roman" w:hAnsi="Times New Roman" w:cs="Times New Roman"/>
          <w:sz w:val="24"/>
          <w:szCs w:val="24"/>
        </w:rPr>
        <w:t xml:space="preserve"> (additive = 1, subtractive = 0), item type as moderator </w:t>
      </w:r>
      <w:r>
        <w:rPr>
          <w:rFonts w:ascii="Times New Roman" w:eastAsia="Times New Roman" w:hAnsi="Times New Roman" w:cs="Times New Roman"/>
          <w:i/>
          <w:iCs/>
          <w:sz w:val="24"/>
          <w:szCs w:val="24"/>
        </w:rPr>
        <w:t>W</w:t>
      </w:r>
      <w:r>
        <w:rPr>
          <w:rFonts w:ascii="Times New Roman" w:eastAsia="Times New Roman" w:hAnsi="Times New Roman" w:cs="Times New Roman"/>
          <w:sz w:val="24"/>
          <w:szCs w:val="24"/>
        </w:rPr>
        <w:t xml:space="preserve"> (eco-friendly = 1, traditional = 0), perceived corporate environmental effort as mediator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and sustainability judgment as </w:t>
      </w:r>
      <w:r>
        <w:rPr>
          <w:rFonts w:ascii="Times New Roman" w:eastAsia="Times New Roman" w:hAnsi="Times New Roman" w:cs="Times New Roman"/>
          <w:i/>
          <w:iCs/>
          <w:sz w:val="24"/>
          <w:szCs w:val="24"/>
        </w:rPr>
        <w:t>Y</w:t>
      </w:r>
      <w:r>
        <w:rPr>
          <w:rFonts w:ascii="Times New Roman" w:eastAsia="Times New Roman" w:hAnsi="Times New Roman" w:cs="Times New Roman"/>
          <w:sz w:val="24"/>
          <w:szCs w:val="24"/>
        </w:rPr>
        <w:t>. We found significant indirect effects through perceived corporate environmental effort. Specifically, the conditional indirect effect was positive and significant when items were eco-friendly</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(Indirect Effect = .49, 95%CI [.26, .76]): adding eco-friendly components increased perceived corporate environmental effort, which in turn enhanced sustainability judgment. The conditional indirect effect was negative and significant when items were traditional (Indirect Effect = −.37, 95%CI [−.71, −.06]): adding traditional components decreased perceived environmental effort, which in turn reduced sustainability judgment. The index of moderated mediation was significant (Index = .87, 95%CI [.46; 1.32]), suggesting that the indirect effect of the number of items on sustainability judgment through perceived corporate environmental effort differed significantly as a function of the item type. These results support the idea that perceived corporate environmental effort is the mechanism underlying the sustainable additive bias, consistent with H2.</w:t>
      </w:r>
    </w:p>
    <w:p w14:paraId="05B20DE6" w14:textId="77777777" w:rsidR="00932051" w:rsidRPr="000460EB" w:rsidRDefault="00525931">
      <w:pPr>
        <w:spacing w:after="0" w:line="480" w:lineRule="auto"/>
        <w:rPr>
          <w:rFonts w:ascii="Times New Roman" w:eastAsia="Times New Roman" w:hAnsi="Times New Roman" w:cs="Times New Roman"/>
          <w:b/>
          <w:bCs/>
          <w:sz w:val="28"/>
          <w:szCs w:val="28"/>
        </w:rPr>
      </w:pPr>
      <w:r w:rsidRPr="000460EB">
        <w:rPr>
          <w:rFonts w:ascii="Times New Roman" w:eastAsia="Times New Roman" w:hAnsi="Times New Roman" w:cs="Times New Roman"/>
          <w:b/>
          <w:bCs/>
          <w:sz w:val="28"/>
          <w:szCs w:val="28"/>
        </w:rPr>
        <w:t>Study 6b</w:t>
      </w:r>
    </w:p>
    <w:p w14:paraId="05B20DE7" w14:textId="77777777" w:rsidR="00932051" w:rsidRPr="000460EB" w:rsidRDefault="00525931">
      <w:pPr>
        <w:pBdr>
          <w:top w:val="nil"/>
          <w:left w:val="nil"/>
          <w:bottom w:val="nil"/>
          <w:right w:val="nil"/>
          <w:between w:val="nil"/>
        </w:pBdr>
        <w:spacing w:before="280" w:after="280" w:line="480" w:lineRule="auto"/>
        <w:rPr>
          <w:rFonts w:ascii="Times New Roman" w:eastAsia="Times New Roman" w:hAnsi="Times New Roman" w:cs="Times New Roman"/>
          <w:b/>
          <w:bCs/>
          <w:color w:val="000000"/>
          <w:sz w:val="24"/>
          <w:szCs w:val="24"/>
        </w:rPr>
      </w:pPr>
      <w:r w:rsidRPr="000460EB">
        <w:rPr>
          <w:rFonts w:ascii="Times New Roman" w:eastAsia="Times New Roman" w:hAnsi="Times New Roman" w:cs="Times New Roman"/>
          <w:b/>
          <w:bCs/>
          <w:color w:val="000000"/>
          <w:sz w:val="24"/>
          <w:szCs w:val="24"/>
        </w:rPr>
        <w:t>Design and procedure</w:t>
      </w:r>
    </w:p>
    <w:p w14:paraId="05B20DE8" w14:textId="473FB2CE"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Study 6b </w:t>
      </w:r>
      <w:r>
        <w:rPr>
          <w:rFonts w:ascii="Times New Roman" w:eastAsia="Times New Roman" w:hAnsi="Times New Roman" w:cs="Times New Roman"/>
          <w:sz w:val="24"/>
          <w:szCs w:val="24"/>
        </w:rPr>
        <w:t>used a 2 (item type: eco-friendly vs. traditional) x 2 (number of items: additive vs. subtractive) between-subjects design,</w:t>
      </w:r>
      <w:r>
        <w:rPr>
          <w:rFonts w:ascii="Times New Roman" w:eastAsia="Times New Roman" w:hAnsi="Times New Roman" w:cs="Times New Roman"/>
          <w:color w:val="000000"/>
          <w:sz w:val="24"/>
          <w:szCs w:val="24"/>
        </w:rPr>
        <w:t xml:space="preserve"> was pre-registered</w:t>
      </w:r>
      <w:r>
        <w:rPr>
          <w:rFonts w:ascii="Times New Roman" w:eastAsia="Times New Roman" w:hAnsi="Times New Roman" w:cs="Times New Roman"/>
          <w:sz w:val="24"/>
          <w:szCs w:val="24"/>
        </w:rPr>
        <w:t xml:space="preserve"> (</w:t>
      </w:r>
      <w:hyperlink r:id="rId14">
        <w:r>
          <w:rPr>
            <w:rFonts w:ascii="Times New Roman" w:eastAsia="Times New Roman" w:hAnsi="Times New Roman" w:cs="Times New Roman"/>
            <w:color w:val="0563C1"/>
            <w:sz w:val="24"/>
            <w:szCs w:val="24"/>
            <w:u w:val="single"/>
          </w:rPr>
          <w:t>https://aspredicted.org/j49p-fg2h.pdf</w:t>
        </w:r>
      </w:hyperlink>
      <w:r>
        <w:rPr>
          <w:rFonts w:ascii="Times New Roman" w:eastAsia="Times New Roman" w:hAnsi="Times New Roman" w:cs="Times New Roman"/>
          <w:sz w:val="24"/>
          <w:szCs w:val="24"/>
        </w:rPr>
        <w:t>) and scenario-based. The 303 U.S. participants involved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age</w:t>
      </w:r>
      <w:r>
        <w:rPr>
          <w:rFonts w:ascii="Times New Roman" w:eastAsia="Times New Roman" w:hAnsi="Times New Roman" w:cs="Times New Roman"/>
          <w:sz w:val="24"/>
          <w:szCs w:val="24"/>
        </w:rPr>
        <w:t xml:space="preserve"> = 45.8; 45.2% men) were asked to imagine attending a conference where they would receive a welcome gift bag containing various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products. The study aims to further test H2 and </w:t>
      </w:r>
      <w:r w:rsidR="005C51DF">
        <w:rPr>
          <w:rFonts w:ascii="Times New Roman" w:eastAsia="Times New Roman" w:hAnsi="Times New Roman" w:cs="Times New Roman"/>
          <w:sz w:val="24"/>
          <w:szCs w:val="24"/>
        </w:rPr>
        <w:t>rules</w:t>
      </w:r>
      <w:r>
        <w:rPr>
          <w:rFonts w:ascii="Times New Roman" w:eastAsia="Times New Roman" w:hAnsi="Times New Roman" w:cs="Times New Roman"/>
          <w:sz w:val="24"/>
          <w:szCs w:val="24"/>
        </w:rPr>
        <w:t xml:space="preserve"> out perceived impact as alternative mechanism. </w:t>
      </w:r>
    </w:p>
    <w:p w14:paraId="05B20DE9"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eco-friendly conditions (vs. traditional), welcome products were shown in natural colors (vs. black), made of wood or recycled paper (vs. plastic), and described as suitable for multiple uses (vs. single-use). In the additive condition, a basic welcome bag (a notebook, a tote bag, and a pen) was enriched by a water bottle, a USB key, and a chocolate bar; in the subtractive condition, participants received only the basic bag. Both scenarios explicitly stated that items had been added to, or removed from, the bag relative to previous conference editions. Participants then judged the sustainability of the conference and reported overall attitudes toward it, perceived corporate environmental effort, and the perceived environmental impact of the change in the welcome bag.</w:t>
      </w:r>
    </w:p>
    <w:p w14:paraId="05B20DEA" w14:textId="77777777" w:rsidR="00932051" w:rsidRDefault="00525931">
      <w:pPr>
        <w:spacing w:line="48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Manipulation checks were effective: on a multiple-choice question, 77.9% of participants in the additive scenario reported that items had been added, while 94.8% in the subtractive condition reported that items had been removed (Pearson Chi-</w:t>
      </w:r>
      <w:proofErr w:type="gramStart"/>
      <w:r>
        <w:rPr>
          <w:rFonts w:ascii="Times New Roman" w:eastAsia="Times New Roman" w:hAnsi="Times New Roman" w:cs="Times New Roman"/>
          <w:sz w:val="24"/>
          <w:szCs w:val="24"/>
        </w:rPr>
        <w:t>square</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 259.20,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Moreover, the items were perceived as significantly more sustainable in the eco-friendly conditions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5.10, SD = 1.31) than in the traditional ones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3.23, SD = 1.15;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1, 301)</w:t>
      </w:r>
      <w:r>
        <w:rPr>
          <w:rFonts w:ascii="Times New Roman" w:eastAsia="Times New Roman" w:hAnsi="Times New Roman" w:cs="Times New Roman"/>
          <w:sz w:val="24"/>
          <w:szCs w:val="24"/>
        </w:rPr>
        <w:t xml:space="preserve"> = 173.97,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w:t>
      </w:r>
    </w:p>
    <w:p w14:paraId="05B20DEB" w14:textId="77777777" w:rsidR="00932051" w:rsidRPr="000460EB" w:rsidRDefault="00525931">
      <w:pPr>
        <w:spacing w:line="480" w:lineRule="auto"/>
        <w:jc w:val="both"/>
        <w:rPr>
          <w:rFonts w:ascii="Times New Roman" w:eastAsia="Times New Roman" w:hAnsi="Times New Roman" w:cs="Times New Roman"/>
          <w:b/>
          <w:bCs/>
          <w:sz w:val="24"/>
          <w:szCs w:val="24"/>
        </w:rPr>
      </w:pPr>
      <w:r w:rsidRPr="000460EB">
        <w:rPr>
          <w:rFonts w:ascii="Times New Roman" w:eastAsia="Times New Roman" w:hAnsi="Times New Roman" w:cs="Times New Roman"/>
          <w:b/>
          <w:bCs/>
          <w:sz w:val="24"/>
          <w:szCs w:val="24"/>
        </w:rPr>
        <w:t>Results</w:t>
      </w:r>
    </w:p>
    <w:p w14:paraId="05B20DEC"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two-way ANOVA with item type and number of items as independent variables and sustainability judgment as the dependent variable revealed a significant main effect of item type, with the conference judged more sustainable in the eco-friendly conditions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4.90, SD </w:t>
      </w:r>
      <w:r>
        <w:rPr>
          <w:rFonts w:ascii="Times New Roman" w:eastAsia="Times New Roman" w:hAnsi="Times New Roman" w:cs="Times New Roman"/>
          <w:sz w:val="24"/>
          <w:szCs w:val="24"/>
        </w:rPr>
        <w:lastRenderedPageBreak/>
        <w:t>= 1.27) than in traditional ones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3.30, SD = 1.06;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1, 299)</w:t>
      </w:r>
      <w:r>
        <w:rPr>
          <w:rFonts w:ascii="Times New Roman" w:eastAsia="Times New Roman" w:hAnsi="Times New Roman" w:cs="Times New Roman"/>
          <w:sz w:val="24"/>
          <w:szCs w:val="24"/>
        </w:rPr>
        <w:t xml:space="preserve"> = 165.633,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&lt;.001,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.356). The main effect of number of items was also significant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1, 299)</w:t>
      </w:r>
      <w:r>
        <w:rPr>
          <w:rFonts w:ascii="Times New Roman" w:eastAsia="Times New Roman" w:hAnsi="Times New Roman" w:cs="Times New Roman"/>
          <w:sz w:val="24"/>
          <w:szCs w:val="24"/>
        </w:rPr>
        <w:t xml:space="preserve"> = 4.297,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=.039,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.014) with the additive condition judged as less sustainable than the subtractive condition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=3.99, SD=1.60;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vertAlign w:val="subscript"/>
        </w:rPr>
        <w:t xml:space="preserve"> </w:t>
      </w:r>
      <w:r>
        <w:rPr>
          <w:rFonts w:ascii="Times New Roman" w:eastAsia="Times New Roman" w:hAnsi="Times New Roman" w:cs="Times New Roman"/>
          <w:sz w:val="24"/>
          <w:szCs w:val="24"/>
        </w:rPr>
        <w:t>=4.23, SD= 1.22). Critically, the interaction between item type and number of items was significant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1, 299)</w:t>
      </w:r>
      <w:r>
        <w:rPr>
          <w:rFonts w:ascii="Times New Roman" w:eastAsia="Times New Roman" w:hAnsi="Times New Roman" w:cs="Times New Roman"/>
          <w:sz w:val="24"/>
          <w:szCs w:val="24"/>
        </w:rPr>
        <w:t xml:space="preserve"> = 45.016,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&lt;.001,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.131). Contrasts tests, illustrated in Figure 3, show that when the items were eco-friendly, participants rated the conference as significantly more sustainable in the additive condition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5.20, SD = 1.11) than in the subtractive one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4.62, SD = 1.36;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299)</w:t>
      </w:r>
      <w:r>
        <w:rPr>
          <w:rFonts w:ascii="Times New Roman" w:eastAsia="Times New Roman" w:hAnsi="Times New Roman" w:cs="Times New Roman"/>
          <w:sz w:val="24"/>
          <w:szCs w:val="24"/>
        </w:rPr>
        <w:t xml:space="preserve"> = 3.306,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.001). Conversely, when items were traditional, higher means were found for the subtractive condition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3.84, SD = .91) compared to the additive condition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2.74, SD = .91;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299)</w:t>
      </w:r>
      <w:r>
        <w:rPr>
          <w:rFonts w:ascii="Times New Roman" w:eastAsia="Times New Roman" w:hAnsi="Times New Roman" w:cs="Times New Roman"/>
          <w:sz w:val="24"/>
          <w:szCs w:val="24"/>
        </w:rPr>
        <w:t xml:space="preserve"> = -6.159,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&lt;.001). (Further results from contrasts tests for this and the next variables are available in Appendix B.) </w:t>
      </w:r>
    </w:p>
    <w:p w14:paraId="05B20DED"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ANOVA on attitudes toward the conference revealed a significant main effect of the item type factor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1, 299)</w:t>
      </w:r>
      <w:r>
        <w:rPr>
          <w:rFonts w:ascii="Times New Roman" w:eastAsia="Times New Roman" w:hAnsi="Times New Roman" w:cs="Times New Roman"/>
          <w:sz w:val="24"/>
          <w:szCs w:val="24"/>
        </w:rPr>
        <w:t xml:space="preserve"> = 28.835,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&lt;.001,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.088). Participants expressed more favorable attitudes toward the conference when items were eco-friendly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5.20, SD = 1.25) than when they were traditional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4.52, SD = 1.10). There was also a main effect of number of items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1, 299)</w:t>
      </w:r>
      <w:r>
        <w:rPr>
          <w:rFonts w:ascii="Times New Roman" w:eastAsia="Times New Roman" w:hAnsi="Times New Roman" w:cs="Times New Roman"/>
          <w:sz w:val="24"/>
          <w:szCs w:val="24"/>
        </w:rPr>
        <w:t xml:space="preserve"> = 17.988,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&lt;.001,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.057). The participants expressed more positive attitudes in the additive conditions than in the subtractive conditions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5.15, SD = 1.21;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4.59, SD = 1.18). Importantly, we found a significant interaction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1, 299)</w:t>
      </w:r>
      <w:r>
        <w:rPr>
          <w:rFonts w:ascii="Times New Roman" w:eastAsia="Times New Roman" w:hAnsi="Times New Roman" w:cs="Times New Roman"/>
          <w:sz w:val="24"/>
          <w:szCs w:val="24"/>
        </w:rPr>
        <w:t xml:space="preserve"> = 15.801,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&lt;.001,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.050). Contrasts tests showed that when the items were eco-friendly, attitudes toward the conference were significantly more positive in the additive condition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5.74, SD = 1.01) than in the subtractive one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4.68, SD = 1.24;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299)</w:t>
      </w:r>
      <w:r>
        <w:rPr>
          <w:rFonts w:ascii="Times New Roman" w:eastAsia="Times New Roman" w:hAnsi="Times New Roman" w:cs="Times New Roman"/>
          <w:sz w:val="24"/>
          <w:szCs w:val="24"/>
        </w:rPr>
        <w:t xml:space="preserve"> = 5.859,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In contrast, when the items were traditional, attitudes did not differ between the additive and subtractive conditions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=.852).</w:t>
      </w:r>
    </w:p>
    <w:p w14:paraId="05B20DEE"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two-way ANOVA on perceived corporate environmental effort revealed a significant main effect of the type of item, with eco-friendly conditions showing significantly higher means </w:t>
      </w:r>
      <w:r>
        <w:rPr>
          <w:rFonts w:ascii="Times New Roman" w:eastAsia="Times New Roman" w:hAnsi="Times New Roman" w:cs="Times New Roman"/>
          <w:sz w:val="24"/>
          <w:szCs w:val="24"/>
        </w:rPr>
        <w:lastRenderedPageBreak/>
        <w:t>compared to traditional conditions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1, 299)</w:t>
      </w:r>
      <w:r>
        <w:rPr>
          <w:rFonts w:ascii="Times New Roman" w:eastAsia="Times New Roman" w:hAnsi="Times New Roman" w:cs="Times New Roman"/>
          <w:sz w:val="24"/>
          <w:szCs w:val="24"/>
        </w:rPr>
        <w:t xml:space="preserve"> = 100.930,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.252). The main effect of the number of the items was not significant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.687), but there was a significant interaction effect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1, 299)</w:t>
      </w:r>
      <w:r>
        <w:rPr>
          <w:rFonts w:ascii="Times New Roman" w:eastAsia="Times New Roman" w:hAnsi="Times New Roman" w:cs="Times New Roman"/>
          <w:sz w:val="24"/>
          <w:szCs w:val="24"/>
        </w:rPr>
        <w:t xml:space="preserve"> = 40.88,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.120). Contrasts tests show that when the items were eco-friendly, the additive condition generated significantly higher perceived environmental effort than the subtractive condition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5.55,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1.12;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4.53,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1.48;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299)</w:t>
      </w:r>
      <w:r>
        <w:rPr>
          <w:rFonts w:ascii="Times New Roman" w:eastAsia="Times New Roman" w:hAnsi="Times New Roman" w:cs="Times New Roman"/>
          <w:sz w:val="24"/>
          <w:szCs w:val="24"/>
        </w:rPr>
        <w:t xml:space="preserve"> = 4.846,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whereas when items were traditional, the subtractive condition generated higher perceived environmental effort than the additive condition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3.97,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1.26;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3.07, </w:t>
      </w:r>
      <w:r>
        <w:rPr>
          <w:rFonts w:ascii="Times New Roman" w:eastAsia="Times New Roman" w:hAnsi="Times New Roman" w:cs="Times New Roman"/>
          <w:i/>
          <w:iCs/>
          <w:sz w:val="24"/>
          <w:szCs w:val="24"/>
        </w:rPr>
        <w:t>SD</w:t>
      </w:r>
      <w:r>
        <w:rPr>
          <w:rFonts w:ascii="Times New Roman" w:eastAsia="Times New Roman" w:hAnsi="Times New Roman" w:cs="Times New Roman"/>
          <w:sz w:val="24"/>
          <w:szCs w:val="24"/>
        </w:rPr>
        <w:t xml:space="preserve"> = 1.36;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299)</w:t>
      </w:r>
      <w:r>
        <w:rPr>
          <w:rFonts w:ascii="Times New Roman" w:eastAsia="Times New Roman" w:hAnsi="Times New Roman" w:cs="Times New Roman"/>
          <w:sz w:val="24"/>
          <w:szCs w:val="24"/>
        </w:rPr>
        <w:t xml:space="preserve"> = −4.201,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w:t>
      </w:r>
    </w:p>
    <w:p w14:paraId="05B20DEF"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test the proposed mediation mechanism (H2), we conducted a moderated mediation analysis (PROCESS Model 7; Hayes, 2022) with 10,000 bootstrap resamples. The number of items was entered as </w:t>
      </w:r>
      <w:r>
        <w:rPr>
          <w:rFonts w:ascii="Times New Roman" w:eastAsia="Times New Roman" w:hAnsi="Times New Roman" w:cs="Times New Roman"/>
          <w:i/>
          <w:iCs/>
          <w:sz w:val="24"/>
          <w:szCs w:val="24"/>
        </w:rPr>
        <w:t>X</w:t>
      </w:r>
      <w:r>
        <w:rPr>
          <w:rFonts w:ascii="Times New Roman" w:eastAsia="Times New Roman" w:hAnsi="Times New Roman" w:cs="Times New Roman"/>
          <w:sz w:val="24"/>
          <w:szCs w:val="24"/>
        </w:rPr>
        <w:t xml:space="preserve"> (additive = 1, subtractive = 0), item type as moderator </w:t>
      </w:r>
      <w:r>
        <w:rPr>
          <w:rFonts w:ascii="Times New Roman" w:eastAsia="Times New Roman" w:hAnsi="Times New Roman" w:cs="Times New Roman"/>
          <w:i/>
          <w:iCs/>
          <w:sz w:val="24"/>
          <w:szCs w:val="24"/>
        </w:rPr>
        <w:t>W</w:t>
      </w:r>
      <w:r>
        <w:rPr>
          <w:rFonts w:ascii="Times New Roman" w:eastAsia="Times New Roman" w:hAnsi="Times New Roman" w:cs="Times New Roman"/>
          <w:sz w:val="24"/>
          <w:szCs w:val="24"/>
        </w:rPr>
        <w:t xml:space="preserve"> (eco-friendly = 1, traditional = 0), perceived environmental effort as mediator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and sustainability judgment as the dependent variable (</w:t>
      </w:r>
      <w:r>
        <w:rPr>
          <w:rFonts w:ascii="Times New Roman" w:eastAsia="Times New Roman" w:hAnsi="Times New Roman" w:cs="Times New Roman"/>
          <w:i/>
          <w:iCs/>
          <w:sz w:val="24"/>
          <w:szCs w:val="24"/>
        </w:rPr>
        <w:t>Y)</w:t>
      </w:r>
      <w:r>
        <w:rPr>
          <w:rFonts w:ascii="Times New Roman" w:eastAsia="Times New Roman" w:hAnsi="Times New Roman" w:cs="Times New Roman"/>
          <w:sz w:val="24"/>
          <w:szCs w:val="24"/>
        </w:rPr>
        <w:t>. We found a significant indirect effect. When the items were eco-friendly, the indirect effect was positive and significant (Indirect Effect = .7275, 95%CI [.43, 1.04]): adding eco-friendly components increased perceived environmental effort, which in turn enhanced sustainability judgment. When items were traditional, the conditional indirect effect was negative and significant (Indirect Effect = −.64, 95%CI [−.96, −.33]): adding traditional components decreased perceived environmental effort, which in turn reduced sustainability judgment. The index of moderated mediation was significant (Index = 1.37, 95%CI [.93, 1.83]), confirming that the indirect effect of item number on sustainability judgment through perceived environmental effort differed significantly as a function of item type. (Further results from the moderated mediation are presented in Appendix B.)</w:t>
      </w:r>
    </w:p>
    <w:p w14:paraId="05B20DF3" w14:textId="77777777" w:rsidR="00932051" w:rsidRDefault="00525931">
      <w:pPr>
        <w:spacing w:line="480" w:lineRule="auto"/>
      </w:pPr>
      <w:r>
        <w:rPr>
          <w:noProof/>
        </w:rPr>
        <w:lastRenderedPageBreak/>
        <w:drawing>
          <wp:inline distT="0" distB="0" distL="0" distR="0" wp14:anchorId="05B20E97" wp14:editId="51F5C751">
            <wp:extent cx="5638800" cy="3651250"/>
            <wp:effectExtent l="0" t="0" r="0" b="635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5"/>
                    <a:srcRect l="1322" t="1507" r="794" b="2177"/>
                    <a:stretch>
                      <a:fillRect/>
                    </a:stretch>
                  </pic:blipFill>
                  <pic:spPr bwMode="auto">
                    <a:xfrm>
                      <a:off x="0" y="0"/>
                      <a:ext cx="5638800" cy="3651250"/>
                    </a:xfrm>
                    <a:prstGeom prst="rect">
                      <a:avLst/>
                    </a:prstGeom>
                    <a:ln>
                      <a:noFill/>
                    </a:ln>
                    <a:extLst>
                      <a:ext uri="{53640926-AAD7-44D8-BBD7-CCE9431645EC}">
                        <a14:shadowObscured xmlns:a14="http://schemas.microsoft.com/office/drawing/2010/main"/>
                      </a:ext>
                    </a:extLst>
                  </pic:spPr>
                </pic:pic>
              </a:graphicData>
            </a:graphic>
          </wp:inline>
        </w:drawing>
      </w:r>
    </w:p>
    <w:p w14:paraId="05B20DF4" w14:textId="605530C4" w:rsidR="00932051" w:rsidRPr="008019F7"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Fig</w:t>
      </w:r>
      <w:r w:rsidR="008019F7">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3 </w:t>
      </w:r>
      <w:r w:rsidRPr="008019F7">
        <w:rPr>
          <w:rFonts w:ascii="Times New Roman" w:eastAsia="Times New Roman" w:hAnsi="Times New Roman" w:cs="Times New Roman"/>
          <w:sz w:val="24"/>
          <w:szCs w:val="24"/>
        </w:rPr>
        <w:t xml:space="preserve">Means of </w:t>
      </w:r>
      <w:r w:rsidR="00056E57" w:rsidRPr="008019F7">
        <w:rPr>
          <w:rFonts w:ascii="Times New Roman" w:eastAsia="Times New Roman" w:hAnsi="Times New Roman" w:cs="Times New Roman"/>
          <w:sz w:val="24"/>
          <w:szCs w:val="24"/>
        </w:rPr>
        <w:t xml:space="preserve">sustainability judgment </w:t>
      </w:r>
      <w:r w:rsidRPr="008019F7">
        <w:rPr>
          <w:rFonts w:ascii="Times New Roman" w:eastAsia="Times New Roman" w:hAnsi="Times New Roman" w:cs="Times New Roman"/>
          <w:sz w:val="24"/>
          <w:szCs w:val="24"/>
        </w:rPr>
        <w:t xml:space="preserve">(upper left), </w:t>
      </w:r>
      <w:r w:rsidR="00056E57">
        <w:rPr>
          <w:rFonts w:ascii="Times New Roman" w:eastAsia="Times New Roman" w:hAnsi="Times New Roman" w:cs="Times New Roman"/>
          <w:sz w:val="24"/>
          <w:szCs w:val="24"/>
        </w:rPr>
        <w:t>a</w:t>
      </w:r>
      <w:r w:rsidRPr="008019F7">
        <w:rPr>
          <w:rFonts w:ascii="Times New Roman" w:eastAsia="Times New Roman" w:hAnsi="Times New Roman" w:cs="Times New Roman"/>
          <w:sz w:val="24"/>
          <w:szCs w:val="24"/>
        </w:rPr>
        <w:t xml:space="preserve">ttitudes (upper right), and </w:t>
      </w:r>
      <w:r w:rsidR="00056E57" w:rsidRPr="008019F7">
        <w:rPr>
          <w:rFonts w:ascii="Times New Roman" w:eastAsia="Times New Roman" w:hAnsi="Times New Roman" w:cs="Times New Roman"/>
          <w:sz w:val="24"/>
          <w:szCs w:val="24"/>
        </w:rPr>
        <w:t>perceived environmental effort</w:t>
      </w:r>
      <w:r w:rsidRPr="008019F7">
        <w:rPr>
          <w:rFonts w:ascii="Times New Roman" w:eastAsia="Times New Roman" w:hAnsi="Times New Roman" w:cs="Times New Roman"/>
          <w:sz w:val="24"/>
          <w:szCs w:val="24"/>
        </w:rPr>
        <w:t xml:space="preserve"> (below) between experimental conditions of Study 6b</w:t>
      </w:r>
      <w:r w:rsidR="008019F7">
        <w:rPr>
          <w:rFonts w:ascii="Times New Roman" w:eastAsia="Times New Roman" w:hAnsi="Times New Roman" w:cs="Times New Roman"/>
          <w:sz w:val="24"/>
          <w:szCs w:val="24"/>
        </w:rPr>
        <w:t xml:space="preserve"> </w:t>
      </w:r>
    </w:p>
    <w:p w14:paraId="05B20DF5" w14:textId="77777777" w:rsidR="00932051" w:rsidRDefault="00525931">
      <w:pPr>
        <w:spacing w:line="480" w:lineRule="auto"/>
        <w:jc w:val="both"/>
        <w:rPr>
          <w:rFonts w:ascii="Times New Roman" w:eastAsia="Times New Roman" w:hAnsi="Times New Roman" w:cs="Times New Roman"/>
          <w:sz w:val="24"/>
          <w:szCs w:val="24"/>
        </w:rPr>
      </w:pPr>
      <w:r>
        <w:t xml:space="preserve"> </w:t>
      </w:r>
    </w:p>
    <w:p w14:paraId="05B20DF6"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also examined how participants interpreted the environmental impact of adding vs. subtracting items. There was a significant main effect of the number of items, with greater perceived impact in the subtractive than the additive condition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4.69, SD = 1.06;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3.88, SD = 1.46;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299)</w:t>
      </w:r>
      <w:r>
        <w:rPr>
          <w:rFonts w:ascii="Times New Roman" w:eastAsia="Times New Roman" w:hAnsi="Times New Roman" w:cs="Times New Roman"/>
          <w:sz w:val="24"/>
          <w:szCs w:val="24"/>
        </w:rPr>
        <w:t xml:space="preserve"> = 40.004,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&lt;.001,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.118). The main effect of the type of item was also significant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299)</w:t>
      </w:r>
      <w:r>
        <w:rPr>
          <w:rFonts w:ascii="Times New Roman" w:eastAsia="Times New Roman" w:hAnsi="Times New Roman" w:cs="Times New Roman"/>
          <w:sz w:val="24"/>
          <w:szCs w:val="24"/>
        </w:rPr>
        <w:t xml:space="preserve"> = 27.304,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&lt;.001,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.084): eco-friendly welcome bags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4.62, SD = 1.25) were perceived as having greater impact on the environment compared to traditional welcome bags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3.95, SD =1.33). Moreover, there was a significant interaction between item type and number of items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1, 299)</w:t>
      </w:r>
      <w:r>
        <w:rPr>
          <w:rFonts w:ascii="Times New Roman" w:eastAsia="Times New Roman" w:hAnsi="Times New Roman" w:cs="Times New Roman"/>
          <w:sz w:val="24"/>
          <w:szCs w:val="24"/>
        </w:rPr>
        <w:t xml:space="preserve"> = 44.159,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.129). When the items were eco-friendly, participants perceived that additive and subtractive condition exerted the same impact on the environment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.819). When the items were traditional, participants perceived the subtractive condition as having significantly more </w:t>
      </w:r>
      <w:r>
        <w:rPr>
          <w:rFonts w:ascii="Times New Roman" w:eastAsia="Times New Roman" w:hAnsi="Times New Roman" w:cs="Times New Roman"/>
          <w:sz w:val="24"/>
          <w:szCs w:val="24"/>
        </w:rPr>
        <w:lastRenderedPageBreak/>
        <w:t>positive impact on the environment than the additive change (</w:t>
      </w:r>
      <w:proofErr w:type="spellStart"/>
      <w:r>
        <w:rPr>
          <w:rFonts w:ascii="Times New Roman" w:eastAsia="Times New Roman" w:hAnsi="Times New Roman" w:cs="Times New Roman"/>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3.08, SD = 1.14 vs </w:t>
      </w:r>
      <w:proofErr w:type="spellStart"/>
      <w:r>
        <w:rPr>
          <w:rFonts w:ascii="Times New Roman" w:eastAsia="Times New Roman" w:hAnsi="Times New Roman" w:cs="Times New Roman"/>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4.79, SD = .88;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299)</w:t>
      </w:r>
      <w:r>
        <w:rPr>
          <w:rFonts w:ascii="Times New Roman" w:eastAsia="Times New Roman" w:hAnsi="Times New Roman" w:cs="Times New Roman"/>
          <w:sz w:val="24"/>
          <w:szCs w:val="24"/>
        </w:rPr>
        <w:t xml:space="preserve"> = -9.096,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&lt;.001). </w:t>
      </w:r>
    </w:p>
    <w:p w14:paraId="05B20DF7"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repeated the moderated mediation analysis (PROCESS Model 7; Hayes, 2022; 10,000 bootstrap resamples) with perceived environmental impact as the mediator instead of perceived environmental effort. The indirect effect of perceived impact was significant and negative when the items were traditional (Indirect Effect = −1.14, 95%CI [−1.45, −.86]): adding traditional components decreased perceived impact, which in turn reduced sustainability judgment. Conversely, when the items were eco-friendly, the indirect effect was not significant (Indirect Effect = .02, 95%CI [-.23, .30]). The index of moderated mediation was significant (Index = 1.17, 95%CI [.77, 1.60]), confirming that the indirect effect of item number on sustainability judgment through perceived impact differed significantly as a function of item type. Notably, this index was smaller than for corporate environmental effort, and the absence of a significant effect in the eco-friendly conditions indicates that perceived corporate environmental effort exerts the stronger influence on sustainability judgment. These results support H2 and rule out perceived impact as an alternative mechanism. (Further results from the moderated mediation are presented in Appendix B.)</w:t>
      </w:r>
    </w:p>
    <w:p w14:paraId="05B20DF8" w14:textId="77777777" w:rsidR="00932051" w:rsidRDefault="005259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Study 6 replicates the sustainable additive bias and its mechanism across service and product settings, showing that adding eco-friendly components increases the perception of substantial environmental effort, which in turn mediates sustainability judgment. Study 6c (Appendix C) rules out perceived quality and credibility as alternative mediators. Study 7 further tests the causal role of perceived environmental effort by manipulating it directly and examining whether making effort salient eliminates the bias.</w:t>
      </w:r>
    </w:p>
    <w:p w14:paraId="05B20DF9" w14:textId="77777777" w:rsidR="00932051" w:rsidRDefault="00525931">
      <w:pPr>
        <w:spacing w:after="0" w:line="48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Study 7 </w:t>
      </w:r>
    </w:p>
    <w:p w14:paraId="05B20DFA" w14:textId="0826C173" w:rsidR="00932051" w:rsidRDefault="0052593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experiment provides additional support for H2 and strengthens the evidence on the role of perceived corporate environmental effort. It adopts a moderation</w:t>
      </w:r>
      <w:r w:rsidR="00056E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w:t>
      </w:r>
      <w:r w:rsidR="00056E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process approach </w:t>
      </w:r>
      <w:r>
        <w:rPr>
          <w:rFonts w:ascii="Times New Roman" w:eastAsia="Times New Roman" w:hAnsi="Times New Roman" w:cs="Times New Roman"/>
          <w:sz w:val="24"/>
          <w:szCs w:val="24"/>
        </w:rPr>
        <w:lastRenderedPageBreak/>
        <w:t>(Spencer et al., 2005), in which the mediator is experimentally manipulated, so that demonstrating its moderating influence confirms its mediating function. Study 7 therefore manipulates corporate environmental effort through a scenario highlighting either its salience or its absence, and we anticipate that subtraction will have a less negative effect on sustainability judgment when effort is salient.</w:t>
      </w:r>
      <w:r w:rsidR="005C51DF">
        <w:rPr>
          <w:rFonts w:ascii="Times New Roman" w:eastAsia="Times New Roman" w:hAnsi="Times New Roman" w:cs="Times New Roman"/>
          <w:sz w:val="24"/>
          <w:szCs w:val="24"/>
        </w:rPr>
        <w:t xml:space="preserve"> </w:t>
      </w:r>
    </w:p>
    <w:p w14:paraId="05B20DFB" w14:textId="77777777" w:rsidR="00932051" w:rsidRPr="000460EB" w:rsidRDefault="00525931">
      <w:pPr>
        <w:pBdr>
          <w:top w:val="nil"/>
          <w:left w:val="nil"/>
          <w:bottom w:val="nil"/>
          <w:right w:val="nil"/>
          <w:between w:val="nil"/>
        </w:pBdr>
        <w:spacing w:after="0" w:line="480" w:lineRule="auto"/>
        <w:jc w:val="both"/>
        <w:rPr>
          <w:rFonts w:ascii="Times New Roman" w:eastAsia="Times New Roman" w:hAnsi="Times New Roman" w:cs="Times New Roman"/>
          <w:b/>
          <w:bCs/>
          <w:color w:val="000000"/>
          <w:sz w:val="24"/>
          <w:szCs w:val="24"/>
        </w:rPr>
      </w:pPr>
      <w:r w:rsidRPr="000460EB">
        <w:rPr>
          <w:rFonts w:ascii="Times New Roman" w:eastAsia="Times New Roman" w:hAnsi="Times New Roman" w:cs="Times New Roman"/>
          <w:b/>
          <w:bCs/>
          <w:color w:val="000000"/>
          <w:sz w:val="24"/>
          <w:szCs w:val="24"/>
        </w:rPr>
        <w:t xml:space="preserve">Design and procedure </w:t>
      </w:r>
    </w:p>
    <w:p w14:paraId="05B20DFC"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total, 401 U.S. participants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age</w:t>
      </w:r>
      <w:r>
        <w:rPr>
          <w:rFonts w:ascii="Times New Roman" w:eastAsia="Times New Roman" w:hAnsi="Times New Roman" w:cs="Times New Roman"/>
          <w:sz w:val="24"/>
          <w:szCs w:val="24"/>
        </w:rPr>
        <w:t xml:space="preserve"> = 45.9; 54% female) took part in a 2 (number of items: additive vs. subtractive) x 2 (effort: salient vs. absent) between-subjects experiment (design pre-registration: </w:t>
      </w:r>
      <w:hyperlink r:id="rId16">
        <w:r>
          <w:rPr>
            <w:rFonts w:ascii="Times New Roman" w:eastAsia="Times New Roman" w:hAnsi="Times New Roman" w:cs="Times New Roman"/>
            <w:color w:val="0563C1"/>
            <w:sz w:val="24"/>
            <w:szCs w:val="24"/>
            <w:u w:val="single"/>
          </w:rPr>
          <w:t>https://aspredicted.org/yy63e9.pdf</w:t>
        </w:r>
      </w:hyperlink>
      <w:r>
        <w:rPr>
          <w:rFonts w:ascii="Times New Roman" w:eastAsia="Times New Roman" w:hAnsi="Times New Roman" w:cs="Times New Roman"/>
          <w:sz w:val="24"/>
          <w:szCs w:val="24"/>
        </w:rPr>
        <w:t>).</w:t>
      </w:r>
    </w:p>
    <w:p w14:paraId="05B20DFD"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saw two lunch sets presented as potential employee gifts proposed by a company’s HR department. The first included a lunch box, a reusable cup, and bamboo cutlery. The second, described as the one ultimately selected, varied by condition: the additive condition added a tote bag, the subtractive condition removed the reusable cup.</w:t>
      </w:r>
    </w:p>
    <w:p w14:paraId="05B20DFE" w14:textId="15CED56E"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degree to which corporate environmental effort was made salient also varied across conditions. In the effort-salient conditions, the scenario included the following sentence: </w:t>
      </w:r>
      <w:r>
        <w:rPr>
          <w:rFonts w:ascii="Times New Roman" w:eastAsia="Times New Roman" w:hAnsi="Times New Roman" w:cs="Times New Roman"/>
          <w:i/>
          <w:iCs/>
          <w:sz w:val="24"/>
          <w:szCs w:val="24"/>
        </w:rPr>
        <w:t>"Imagine working for a sustainable company that devotes considerable effort</w:t>
      </w:r>
      <w:r w:rsidR="00056E57">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both in terms of energy and financial resources</w:t>
      </w:r>
      <w:r w:rsidR="00056E57">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rPr>
        <w:t>to maintaining its sustainability."</w:t>
      </w:r>
      <w:r>
        <w:rPr>
          <w:rFonts w:ascii="Times New Roman" w:eastAsia="Times New Roman" w:hAnsi="Times New Roman" w:cs="Times New Roman"/>
          <w:sz w:val="24"/>
          <w:szCs w:val="24"/>
        </w:rPr>
        <w:t xml:space="preserve"> In the effort-absent conditions, participants read simply: </w:t>
      </w:r>
      <w:r>
        <w:rPr>
          <w:rFonts w:ascii="Times New Roman" w:eastAsia="Times New Roman" w:hAnsi="Times New Roman" w:cs="Times New Roman"/>
          <w:i/>
          <w:iCs/>
          <w:sz w:val="24"/>
          <w:szCs w:val="24"/>
        </w:rPr>
        <w:t>"Imagine working for a sustainable company."</w:t>
      </w:r>
      <w:r>
        <w:rPr>
          <w:rFonts w:ascii="Times New Roman" w:eastAsia="Times New Roman" w:hAnsi="Times New Roman" w:cs="Times New Roman"/>
          <w:sz w:val="24"/>
          <w:szCs w:val="24"/>
        </w:rPr>
        <w:t xml:space="preserve"> All other elements of the scenario were held constant. This manipulation targets perceived environmental effort as defined in this paper, namely the resources consumers believe a company has invested in its sustainability initiatives.</w:t>
      </w:r>
    </w:p>
    <w:p w14:paraId="05B20E00" w14:textId="23C918CA"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recognized that the set included an extra item in the additive condition (91%) and one fewer in the subtractive condition (96%), indicating an effective manipulation (Pearson Chi-</w:t>
      </w:r>
      <w:proofErr w:type="gramStart"/>
      <w:r>
        <w:rPr>
          <w:rFonts w:ascii="Times New Roman" w:eastAsia="Times New Roman" w:hAnsi="Times New Roman" w:cs="Times New Roman"/>
          <w:sz w:val="24"/>
          <w:szCs w:val="24"/>
        </w:rPr>
        <w:t>square</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 364.981,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Perceived environmental effort was also effectively </w:t>
      </w:r>
      <w:r>
        <w:rPr>
          <w:rFonts w:ascii="Times New Roman" w:eastAsia="Times New Roman" w:hAnsi="Times New Roman" w:cs="Times New Roman"/>
          <w:sz w:val="24"/>
          <w:szCs w:val="24"/>
        </w:rPr>
        <w:lastRenderedPageBreak/>
        <w:t>manipulated; in the salient condition, respondents assessed company’s effort as significantly higher compared to the absent condition (</w:t>
      </w:r>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rPr>
        <w:t xml:space="preserve"> = 8.289,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.004;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salient</w:t>
      </w:r>
      <w:proofErr w:type="spellEnd"/>
      <w:r>
        <w:rPr>
          <w:rFonts w:ascii="Times New Roman" w:eastAsia="Times New Roman" w:hAnsi="Times New Roman" w:cs="Times New Roman"/>
          <w:sz w:val="24"/>
          <w:szCs w:val="24"/>
        </w:rPr>
        <w:t xml:space="preserve"> = 5.25;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absent</w:t>
      </w:r>
      <w:proofErr w:type="spellEnd"/>
      <w:r>
        <w:rPr>
          <w:rFonts w:ascii="Times New Roman" w:eastAsia="Times New Roman" w:hAnsi="Times New Roman" w:cs="Times New Roman"/>
          <w:sz w:val="24"/>
          <w:szCs w:val="24"/>
        </w:rPr>
        <w:t xml:space="preserve"> = 4.85).   </w:t>
      </w:r>
    </w:p>
    <w:p w14:paraId="05B20E01" w14:textId="77777777" w:rsidR="00932051" w:rsidRPr="000460EB" w:rsidRDefault="00525931">
      <w:pPr>
        <w:spacing w:after="0" w:line="480" w:lineRule="auto"/>
        <w:jc w:val="both"/>
        <w:rPr>
          <w:rFonts w:ascii="Times New Roman" w:eastAsia="Times New Roman" w:hAnsi="Times New Roman" w:cs="Times New Roman"/>
          <w:b/>
          <w:bCs/>
          <w:sz w:val="24"/>
          <w:szCs w:val="24"/>
        </w:rPr>
      </w:pPr>
      <w:r w:rsidRPr="000460EB">
        <w:rPr>
          <w:rFonts w:ascii="Times New Roman" w:eastAsia="Times New Roman" w:hAnsi="Times New Roman" w:cs="Times New Roman"/>
          <w:b/>
          <w:bCs/>
          <w:sz w:val="24"/>
          <w:szCs w:val="24"/>
        </w:rPr>
        <w:t>Results</w:t>
      </w:r>
    </w:p>
    <w:p w14:paraId="05B20E02"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two-way ANOVA was conducted on sustainability judgment with the number of items and effort as the two independent factors. We did not find any main effect (effort: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.994; number of items: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.320), but we found a significant interaction effect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1, 397)</w:t>
      </w:r>
      <w:r>
        <w:rPr>
          <w:rFonts w:ascii="Times New Roman" w:eastAsia="Times New Roman" w:hAnsi="Times New Roman" w:cs="Times New Roman"/>
          <w:sz w:val="24"/>
          <w:szCs w:val="24"/>
        </w:rPr>
        <w:t xml:space="preserve"> = 11.94,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.029). When effort information was absent from the scenario, participants judged the additive lunch set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5.63, SD = 1.03) to be more environmentally friendly than the subtractive one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5.12, SD = 1.10;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397)</w:t>
      </w:r>
      <w:r>
        <w:rPr>
          <w:rFonts w:ascii="Times New Roman" w:eastAsia="Times New Roman" w:hAnsi="Times New Roman" w:cs="Times New Roman"/>
          <w:sz w:val="24"/>
          <w:szCs w:val="24"/>
        </w:rPr>
        <w:t xml:space="preserve"> = 3.152,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.002). Conversely, when salient effort information was present, the difference in judgment between the two sets was not significant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5.23, SD = 1.37;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5.51, SD = 1.07;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1, 397)</w:t>
      </w:r>
      <w:r>
        <w:rPr>
          <w:rFonts w:ascii="Times New Roman" w:eastAsia="Times New Roman" w:hAnsi="Times New Roman" w:cs="Times New Roman"/>
          <w:sz w:val="24"/>
          <w:szCs w:val="24"/>
        </w:rPr>
        <w:t xml:space="preserve"> = -1.738,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.083).</w:t>
      </w:r>
    </w:p>
    <w:p w14:paraId="05B20E03"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ANOVA on attitudes toward the sets revealed a significant effect for the number of items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1, 397)</w:t>
      </w:r>
      <w:r>
        <w:rPr>
          <w:rFonts w:ascii="Times New Roman" w:eastAsia="Times New Roman" w:hAnsi="Times New Roman" w:cs="Times New Roman"/>
          <w:sz w:val="24"/>
          <w:szCs w:val="24"/>
        </w:rPr>
        <w:t xml:space="preserve"> = 9.55,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.002,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.024), indicating that participants reported more positive attitudes toward additive sets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5.64, SD = 1.39) than subtractive ones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5.21, SD = 1.39). The effort factor was not significant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.370), but we found a significant interaction effect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1, 397)</w:t>
      </w:r>
      <w:r>
        <w:rPr>
          <w:rFonts w:ascii="Times New Roman" w:eastAsia="Times New Roman" w:hAnsi="Times New Roman" w:cs="Times New Roman"/>
          <w:sz w:val="24"/>
          <w:szCs w:val="24"/>
        </w:rPr>
        <w:t xml:space="preserve"> = 10.01,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.002, Partial </w:t>
      </w:r>
      <w:r>
        <w:rPr>
          <w:rFonts w:ascii="Times New Roman" w:eastAsia="Times New Roman" w:hAnsi="Times New Roman" w:cs="Times New Roman"/>
          <w:i/>
          <w:iCs/>
          <w:sz w:val="24"/>
          <w:szCs w:val="24"/>
        </w:rPr>
        <w:t>η</w:t>
      </w:r>
      <w:r>
        <w:rPr>
          <w:rFonts w:ascii="Times New Roman" w:eastAsia="Times New Roman" w:hAnsi="Times New Roman" w:cs="Times New Roman"/>
          <w:sz w:val="24"/>
          <w:szCs w:val="24"/>
        </w:rPr>
        <w:t>² = .024). Planned contrasts tests showed that when effort information was absent, participants expressed significantly more positive attitudes toward the additive condition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5.80, SD = 1.32) than the subtractive one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4.93, SD = 1.39;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397)</w:t>
      </w:r>
      <w:r>
        <w:rPr>
          <w:rFonts w:ascii="Times New Roman" w:eastAsia="Times New Roman" w:hAnsi="Times New Roman" w:cs="Times New Roman"/>
          <w:sz w:val="24"/>
          <w:szCs w:val="24"/>
        </w:rPr>
        <w:t xml:space="preserve"> = 4.429,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but when effort was salient, there was no significant difference between the two conditions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5.49, SD = 1.66;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5.50, SD = 1.15;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397)</w:t>
      </w:r>
      <w:r>
        <w:rPr>
          <w:rFonts w:ascii="Times New Roman" w:eastAsia="Times New Roman" w:hAnsi="Times New Roman" w:cs="Times New Roman"/>
          <w:sz w:val="24"/>
          <w:szCs w:val="24"/>
        </w:rPr>
        <w:t xml:space="preserve"> = -.052,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.959). Comparing the subtractive conditions, we found attitudes toward the sets were more positive when effort was salient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5.50, SD = 1.15) than when it was absent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4.93, SD = 1.39;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397)</w:t>
      </w:r>
      <w:r>
        <w:rPr>
          <w:rFonts w:ascii="Times New Roman" w:eastAsia="Times New Roman" w:hAnsi="Times New Roman" w:cs="Times New Roman"/>
          <w:sz w:val="24"/>
          <w:szCs w:val="24"/>
        </w:rPr>
        <w:t xml:space="preserve"> = 2.883,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.004).</w:t>
      </w:r>
    </w:p>
    <w:p w14:paraId="05B20E04"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These results provide further evidence that perceptions of corporate environmental effort underlie the bias. Absent explicit information about the company’s effort, adding an extra item enhanced sustainability judgment and attitudes, replicating the pattern of the previous studies.</w:t>
      </w:r>
    </w:p>
    <w:p w14:paraId="05B20E05"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explicit information about environmental effort was introduced, however, the bias disappeared: stating that the company devotes substantial energy and resources to sustainability neutralized the advantage of the additive condition, and participants no longer relied on the additive heuristic to infer sustainability.</w:t>
      </w:r>
    </w:p>
    <w:p w14:paraId="05B20E06"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Together, these findings suggest that perceived corporate environmental effort is the mechanism underlying the bias: when effort is ambiguous, participants infer it, and hence greater sustainability, from additive components, whereas when effort is explicit the inference is no longer activated and the bias vanishes. Two limitations should be noted: the added and removed items are not fully equivalent (a tote bag vs. a reusable cup), and making effort salient could also activate related perceptions such as trust or credibility. The former is addressed by the flexible-reference designs of Studies 6a and 6b, in which the same item is added or removed, and the latter is examined in Appendix C (Study 6c), which rules out perceived quality and credibility as alternative mediators. In the next study, we explore a means by which companies might mitigate this bias yet still pursue genuine sustainability.</w:t>
      </w:r>
    </w:p>
    <w:p w14:paraId="05B20E07" w14:textId="77777777" w:rsidR="00932051" w:rsidRDefault="00932051">
      <w:pPr>
        <w:spacing w:after="0" w:line="480" w:lineRule="auto"/>
        <w:jc w:val="both"/>
        <w:rPr>
          <w:rFonts w:ascii="Times New Roman" w:eastAsia="Times New Roman" w:hAnsi="Times New Roman" w:cs="Times New Roman"/>
          <w:b/>
          <w:bCs/>
          <w:sz w:val="28"/>
          <w:szCs w:val="28"/>
        </w:rPr>
      </w:pPr>
    </w:p>
    <w:p w14:paraId="05B20E08" w14:textId="77777777" w:rsidR="00932051" w:rsidRDefault="00525931">
      <w:pPr>
        <w:spacing w:after="0" w:line="48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Study 8  </w:t>
      </w:r>
    </w:p>
    <w:p w14:paraId="05B20E09"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aim of Study 8 is to investigate the effect of sustainability prototypicality on judgment of sustainability. Specifically, Study 8 tests whether a highly prototypical cue that remains present in the offering can compensate for a reduction in the number of sustainability cues under subtraction. </w:t>
      </w:r>
    </w:p>
    <w:p w14:paraId="05B20E0A" w14:textId="77777777" w:rsidR="00932051" w:rsidRPr="000460EB" w:rsidRDefault="00525931">
      <w:pPr>
        <w:spacing w:after="0" w:line="480" w:lineRule="auto"/>
        <w:jc w:val="both"/>
        <w:rPr>
          <w:rFonts w:ascii="Times New Roman" w:eastAsia="Times New Roman" w:hAnsi="Times New Roman" w:cs="Times New Roman"/>
          <w:b/>
          <w:bCs/>
          <w:sz w:val="24"/>
          <w:szCs w:val="24"/>
        </w:rPr>
      </w:pPr>
      <w:r w:rsidRPr="000460EB">
        <w:rPr>
          <w:rFonts w:ascii="Times New Roman" w:eastAsia="Times New Roman" w:hAnsi="Times New Roman" w:cs="Times New Roman"/>
          <w:b/>
          <w:bCs/>
          <w:sz w:val="24"/>
          <w:szCs w:val="24"/>
        </w:rPr>
        <w:t>Design and procedure</w:t>
      </w:r>
    </w:p>
    <w:p w14:paraId="05B20E0B"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We involved 400 participants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age</w:t>
      </w:r>
      <w:r>
        <w:rPr>
          <w:rFonts w:ascii="Times New Roman" w:eastAsia="Times New Roman" w:hAnsi="Times New Roman" w:cs="Times New Roman"/>
          <w:sz w:val="24"/>
          <w:szCs w:val="24"/>
        </w:rPr>
        <w:t xml:space="preserve"> = 47; 54% female) in a 2 (number of items: additive vs. subtractive) x 2 (prototypicality: low vs. high) between-subjects design (pre-registration: https://aspredicted.org/ndwt-66qk.pdf). Participants imagined attending a three-day outdoor music festival where, on arrival, they received a welcome bag whose items varied in number and sustainability prototypicality. They were told that, compared to the previous year, items had been added to or removed from the bag, depending on condition.</w:t>
      </w:r>
    </w:p>
    <w:p w14:paraId="05B20E0C"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received two items in the subtractive condition and four in the additive one. The subtractive bag contained a festival guide plus either biodegradable glitter (low prototypicality) or a refillable wooden water bottle (high prototypicality); the additive bag contained a festival guide, a recycled paper map, an eco-friendly hand-sanitizer, and one of the same two focal items. Items were selected through a pre-test described in Appendix B.</w:t>
      </w:r>
    </w:p>
    <w:p w14:paraId="05B20E0D" w14:textId="03D0291B"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Participants judged the event organizer’s sustainability, and as a control we measured sustainability knowledge with one question (“How knowledgeable do you consider yourself in the domain of sustainability?”). </w:t>
      </w:r>
      <w:r w:rsidR="0090711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90711E">
        <w:rPr>
          <w:rFonts w:ascii="Times New Roman" w:eastAsia="Times New Roman" w:hAnsi="Times New Roman" w:cs="Times New Roman"/>
          <w:sz w:val="24"/>
          <w:szCs w:val="24"/>
        </w:rPr>
        <w:t xml:space="preserve">manipulation </w:t>
      </w:r>
      <w:r>
        <w:rPr>
          <w:rFonts w:ascii="Times New Roman" w:eastAsia="Times New Roman" w:hAnsi="Times New Roman" w:cs="Times New Roman"/>
          <w:sz w:val="24"/>
          <w:szCs w:val="24"/>
        </w:rPr>
        <w:t>check confirmed the prototypicality manipulation: items in the low-prototypicality condition were rated significantly less prototypical than those in the high-prototypicality condition (</w:t>
      </w:r>
      <w:proofErr w:type="gramStart"/>
      <w:r>
        <w:rPr>
          <w:rFonts w:ascii="Times New Roman" w:eastAsia="Times New Roman" w:hAnsi="Times New Roman" w:cs="Times New Roman"/>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1, 399)</w:t>
      </w:r>
      <w:r>
        <w:rPr>
          <w:rFonts w:ascii="Times New Roman" w:eastAsia="Times New Roman" w:hAnsi="Times New Roman" w:cs="Times New Roman"/>
          <w:sz w:val="24"/>
          <w:szCs w:val="24"/>
        </w:rPr>
        <w:t xml:space="preserve"> = 27.488,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low</w:t>
      </w:r>
      <w:proofErr w:type="spellEnd"/>
      <w:r>
        <w:rPr>
          <w:rFonts w:ascii="Times New Roman" w:eastAsia="Times New Roman" w:hAnsi="Times New Roman" w:cs="Times New Roman"/>
          <w:sz w:val="24"/>
          <w:szCs w:val="24"/>
        </w:rPr>
        <w:t xml:space="preserve"> = 4.19, SD = 1.42 vs.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high</w:t>
      </w:r>
      <w:proofErr w:type="spellEnd"/>
      <w:r>
        <w:rPr>
          <w:rFonts w:ascii="Times New Roman" w:eastAsia="Times New Roman" w:hAnsi="Times New Roman" w:cs="Times New Roman"/>
          <w:sz w:val="24"/>
          <w:szCs w:val="24"/>
        </w:rPr>
        <w:t xml:space="preserve"> = 4.93, SD = 1.39). We also checked for the manipulation of number of items; respondents in the subtractive conditions reported that the company removed items from the bag (</w:t>
      </w:r>
      <w:proofErr w:type="gramStart"/>
      <w:r>
        <w:rPr>
          <w:rFonts w:ascii="Times New Roman" w:eastAsia="Times New Roman" w:hAnsi="Times New Roman" w:cs="Times New Roman"/>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1, 399)</w:t>
      </w:r>
      <w:r>
        <w:rPr>
          <w:rFonts w:ascii="Times New Roman" w:eastAsia="Times New Roman" w:hAnsi="Times New Roman" w:cs="Times New Roman"/>
          <w:sz w:val="24"/>
          <w:szCs w:val="24"/>
        </w:rPr>
        <w:t xml:space="preserve"> = 767.008,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1.74, SD = 1.32 vs.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5.65, SD = 1.50). </w:t>
      </w:r>
    </w:p>
    <w:p w14:paraId="05B20E0E" w14:textId="77777777" w:rsidR="00932051" w:rsidRPr="000460EB" w:rsidRDefault="00525931">
      <w:pPr>
        <w:spacing w:after="0" w:line="480" w:lineRule="auto"/>
        <w:jc w:val="both"/>
        <w:rPr>
          <w:rFonts w:ascii="Times New Roman" w:eastAsia="Times New Roman" w:hAnsi="Times New Roman" w:cs="Times New Roman"/>
          <w:b/>
          <w:bCs/>
          <w:sz w:val="24"/>
          <w:szCs w:val="24"/>
        </w:rPr>
      </w:pPr>
      <w:r w:rsidRPr="000460EB">
        <w:rPr>
          <w:rFonts w:ascii="Times New Roman" w:eastAsia="Times New Roman" w:hAnsi="Times New Roman" w:cs="Times New Roman"/>
          <w:b/>
          <w:bCs/>
          <w:sz w:val="24"/>
          <w:szCs w:val="24"/>
        </w:rPr>
        <w:t>Results</w:t>
      </w:r>
    </w:p>
    <w:p w14:paraId="05B20E0F"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two-way ANOVA examined whether the number of items and their prototypicality affected sustainability judgment. It revealed a significant main effect of the number of items, with the additive conditions judged more sustainable than the subtractive one (</w:t>
      </w:r>
      <w:proofErr w:type="gramStart"/>
      <w:r>
        <w:rPr>
          <w:rFonts w:ascii="Times New Roman" w:eastAsia="Times New Roman" w:hAnsi="Times New Roman" w:cs="Times New Roman"/>
          <w:i/>
          <w:iCs/>
          <w:sz w:val="24"/>
          <w:szCs w:val="24"/>
        </w:rPr>
        <w:t>F</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1,399)</w:t>
      </w:r>
      <w:r>
        <w:rPr>
          <w:rFonts w:ascii="Times New Roman" w:eastAsia="Times New Roman" w:hAnsi="Times New Roman" w:cs="Times New Roman"/>
          <w:sz w:val="24"/>
          <w:szCs w:val="24"/>
        </w:rPr>
        <w:t xml:space="preserve"> = 26.516,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Partial </w:t>
      </w:r>
      <w:r>
        <w:rPr>
          <w:rFonts w:ascii="Noto Sans Symbols" w:eastAsia="Noto Sans Symbols" w:hAnsi="Noto Sans Symbols" w:cs="Noto Sans Symbols"/>
          <w:i/>
          <w:iCs/>
          <w:sz w:val="24"/>
          <w:szCs w:val="24"/>
        </w:rPr>
        <w:t>η</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 .063;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rPr>
        <w:t xml:space="preserve"> = 5.69, SD = 1.24;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rPr>
        <w:t xml:space="preserve"> = 5.01, SD = 1.35). The interaction was </w:t>
      </w:r>
      <w:r>
        <w:rPr>
          <w:rFonts w:ascii="Times New Roman" w:eastAsia="Times New Roman" w:hAnsi="Times New Roman" w:cs="Times New Roman"/>
          <w:sz w:val="24"/>
          <w:szCs w:val="24"/>
        </w:rPr>
        <w:lastRenderedPageBreak/>
        <w:t xml:space="preserve">not significant </w:t>
      </w:r>
      <w:r>
        <w:rPr>
          <w:rFonts w:ascii="Times New Roman" w:eastAsia="Times New Roman" w:hAnsi="Times New Roman" w:cs="Times New Roman"/>
          <w:color w:val="000000"/>
          <w:sz w:val="24"/>
          <w:szCs w:val="24"/>
        </w:rPr>
        <w:t>(</w:t>
      </w:r>
      <w:proofErr w:type="gramStart"/>
      <w:r>
        <w:rPr>
          <w:rFonts w:ascii="Times New Roman" w:eastAsia="Times New Roman" w:hAnsi="Times New Roman" w:cs="Times New Roman"/>
          <w:i/>
          <w:iCs/>
          <w:color w:val="000000"/>
          <w:sz w:val="24"/>
          <w:szCs w:val="24"/>
        </w:rPr>
        <w:t>F</w:t>
      </w:r>
      <w:r>
        <w:rPr>
          <w:rFonts w:ascii="Times New Roman" w:eastAsia="Times New Roman" w:hAnsi="Times New Roman" w:cs="Times New Roman"/>
          <w:color w:val="000000"/>
          <w:sz w:val="24"/>
          <w:szCs w:val="24"/>
          <w:vertAlign w:val="subscript"/>
        </w:rPr>
        <w:t>(</w:t>
      </w:r>
      <w:proofErr w:type="gramEnd"/>
      <w:r>
        <w:rPr>
          <w:rFonts w:ascii="Times New Roman" w:eastAsia="Times New Roman" w:hAnsi="Times New Roman" w:cs="Times New Roman"/>
          <w:color w:val="000000"/>
          <w:sz w:val="24"/>
          <w:szCs w:val="24"/>
          <w:vertAlign w:val="subscript"/>
        </w:rPr>
        <w:t>1,399)</w:t>
      </w:r>
      <w:r>
        <w:rPr>
          <w:rFonts w:ascii="Times New Roman" w:eastAsia="Times New Roman" w:hAnsi="Times New Roman" w:cs="Times New Roman"/>
          <w:color w:val="000000"/>
          <w:sz w:val="24"/>
          <w:szCs w:val="24"/>
        </w:rPr>
        <w:t xml:space="preserve"> = 1.148; </w:t>
      </w:r>
      <w:r>
        <w:rPr>
          <w:rFonts w:ascii="Times New Roman" w:eastAsia="Times New Roman" w:hAnsi="Times New Roman" w:cs="Times New Roman"/>
          <w:i/>
          <w:iCs/>
          <w:color w:val="000000"/>
          <w:sz w:val="24"/>
          <w:szCs w:val="24"/>
        </w:rPr>
        <w:t>p</w:t>
      </w:r>
      <w:r>
        <w:rPr>
          <w:rFonts w:ascii="Times New Roman" w:eastAsia="Times New Roman" w:hAnsi="Times New Roman" w:cs="Times New Roman"/>
          <w:color w:val="000000"/>
          <w:sz w:val="24"/>
          <w:szCs w:val="24"/>
        </w:rPr>
        <w:t xml:space="preserve"> = .285). However, planned contrasts tests allowed us to better test H3, which posits </w:t>
      </w:r>
      <w:r>
        <w:rPr>
          <w:rFonts w:ascii="Times New Roman" w:eastAsia="Times New Roman" w:hAnsi="Times New Roman" w:cs="Times New Roman"/>
          <w:sz w:val="24"/>
          <w:szCs w:val="24"/>
        </w:rPr>
        <w:t>that high prototypicality is effective in mitigating the negative impact of subtractions. In subtractive conditions, event organizer sustainability was judged to be significantly higher when the high-prototypicality item was presented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5.20, SD = 1.20) than when a low-prototypicality was involved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rPr>
        <w:t xml:space="preserve"> = 4.83, SD = 1.47;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396)</w:t>
      </w:r>
      <w:r>
        <w:rPr>
          <w:rFonts w:ascii="Times New Roman" w:eastAsia="Times New Roman" w:hAnsi="Times New Roman" w:cs="Times New Roman"/>
          <w:sz w:val="24"/>
          <w:szCs w:val="24"/>
        </w:rPr>
        <w:t xml:space="preserve"> = 2.008,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.045). Such a difference was not found under additive conditions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 .627). The importance of prototypicality is further emphasized by the comparison between low prototypicality conditions. Between low prototypicality conditions, variations in the number of welcome bag items affected judgment of sustainability, which were higher for the additive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additive</w:t>
      </w:r>
      <w:proofErr w:type="spellEnd"/>
      <w:r>
        <w:rPr>
          <w:rFonts w:ascii="Times New Roman" w:eastAsia="Times New Roman" w:hAnsi="Times New Roman" w:cs="Times New Roman"/>
          <w:sz w:val="24"/>
          <w:szCs w:val="24"/>
          <w:vertAlign w:val="subscript"/>
        </w:rPr>
        <w:t>*</w:t>
      </w:r>
      <w:proofErr w:type="spellStart"/>
      <w:r>
        <w:rPr>
          <w:rFonts w:ascii="Times New Roman" w:eastAsia="Times New Roman" w:hAnsi="Times New Roman" w:cs="Times New Roman"/>
          <w:sz w:val="24"/>
          <w:szCs w:val="24"/>
          <w:vertAlign w:val="subscript"/>
        </w:rPr>
        <w:t>lowprot</w:t>
      </w:r>
      <w:proofErr w:type="spellEnd"/>
      <w:r>
        <w:rPr>
          <w:rFonts w:ascii="Times New Roman" w:eastAsia="Times New Roman" w:hAnsi="Times New Roman" w:cs="Times New Roman"/>
          <w:sz w:val="24"/>
          <w:szCs w:val="24"/>
        </w:rPr>
        <w:t xml:space="preserve"> = 5.64, SD = 1.40) than the subtractive (</w:t>
      </w:r>
      <w:proofErr w:type="spellStart"/>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subtractive</w:t>
      </w:r>
      <w:proofErr w:type="spellEnd"/>
      <w:r>
        <w:rPr>
          <w:rFonts w:ascii="Times New Roman" w:eastAsia="Times New Roman" w:hAnsi="Times New Roman" w:cs="Times New Roman"/>
          <w:sz w:val="24"/>
          <w:szCs w:val="24"/>
          <w:vertAlign w:val="subscript"/>
        </w:rPr>
        <w:t>*</w:t>
      </w:r>
      <w:proofErr w:type="spellStart"/>
      <w:r>
        <w:rPr>
          <w:rFonts w:ascii="Times New Roman" w:eastAsia="Times New Roman" w:hAnsi="Times New Roman" w:cs="Times New Roman"/>
          <w:sz w:val="24"/>
          <w:szCs w:val="24"/>
          <w:vertAlign w:val="subscript"/>
        </w:rPr>
        <w:t>lowprot</w:t>
      </w:r>
      <w:proofErr w:type="spellEnd"/>
      <w:r>
        <w:rPr>
          <w:rFonts w:ascii="Times New Roman" w:eastAsia="Times New Roman" w:hAnsi="Times New Roman" w:cs="Times New Roman"/>
          <w:sz w:val="24"/>
          <w:szCs w:val="24"/>
        </w:rPr>
        <w:t xml:space="preserve"> = 4.83, SD = 1.47; </w:t>
      </w:r>
      <w:proofErr w:type="gramStart"/>
      <w:r>
        <w:rPr>
          <w:rFonts w:ascii="Times New Roman" w:eastAsia="Times New Roman" w:hAnsi="Times New Roman" w:cs="Times New Roman"/>
          <w:i/>
          <w:iCs/>
          <w:sz w:val="24"/>
          <w:szCs w:val="24"/>
        </w:rPr>
        <w:t>t</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396)</w:t>
      </w:r>
      <w:r>
        <w:rPr>
          <w:rFonts w:ascii="Times New Roman" w:eastAsia="Times New Roman" w:hAnsi="Times New Roman" w:cs="Times New Roman"/>
          <w:sz w:val="24"/>
          <w:szCs w:val="24"/>
        </w:rPr>
        <w:t xml:space="preserve"> = 4.399,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condition. We obtained the same results when including sustainability knowledge as control variable. </w:t>
      </w:r>
    </w:p>
    <w:p w14:paraId="05B20E10" w14:textId="77777777" w:rsidR="00932051" w:rsidRDefault="00525931" w:rsidP="009C2FFC">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Study 8 shows that retaining a highly prototypical cue under subtraction can offset the loss of sustainability components. Study 9 complements Study 8 by showing which component consumers choose to add or remove and, consequently, how they prioritize the inclusion of prototypical items when modifying an offer to signal sustainability. </w:t>
      </w:r>
    </w:p>
    <w:p w14:paraId="2A09373D" w14:textId="77777777" w:rsidR="009C2FFC" w:rsidRDefault="009C2FFC" w:rsidP="009C2FFC">
      <w:pPr>
        <w:spacing w:after="0" w:line="480" w:lineRule="auto"/>
        <w:jc w:val="both"/>
        <w:rPr>
          <w:rFonts w:ascii="Times New Roman" w:eastAsia="Times New Roman" w:hAnsi="Times New Roman" w:cs="Times New Roman"/>
          <w:sz w:val="24"/>
          <w:szCs w:val="24"/>
        </w:rPr>
      </w:pPr>
    </w:p>
    <w:p w14:paraId="05B20E11" w14:textId="77777777" w:rsidR="00932051" w:rsidRDefault="00525931" w:rsidP="009C2FFC">
      <w:pPr>
        <w:spacing w:after="0" w:line="48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Study 9</w:t>
      </w:r>
    </w:p>
    <w:p w14:paraId="05B20E12" w14:textId="3ADE8F63"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Study 9, participants selected branded gifts to distribute to visitors at a trade show, with the instruction to choose items that best convey sustainability. The study employs a choice task rather than an evaluative judgment, though the underlying psychological process is the same. The task does not measure general preferences for the gifts but serves as a behaviorally anchored indicator of participants’ understanding of sustainability, complementing the earlier studies with convergent evidence in a context closer to real-world decision-making.</w:t>
      </w:r>
    </w:p>
    <w:p w14:paraId="05B20E13" w14:textId="77777777" w:rsidR="00932051" w:rsidRPr="000460EB" w:rsidRDefault="00525931">
      <w:pPr>
        <w:spacing w:after="0" w:line="480" w:lineRule="auto"/>
        <w:jc w:val="both"/>
        <w:rPr>
          <w:rFonts w:ascii="Times New Roman" w:eastAsia="Times New Roman" w:hAnsi="Times New Roman" w:cs="Times New Roman"/>
          <w:b/>
          <w:bCs/>
          <w:sz w:val="24"/>
          <w:szCs w:val="24"/>
        </w:rPr>
      </w:pPr>
      <w:r w:rsidRPr="000460EB">
        <w:rPr>
          <w:rFonts w:ascii="Times New Roman" w:eastAsia="Times New Roman" w:hAnsi="Times New Roman" w:cs="Times New Roman"/>
          <w:b/>
          <w:bCs/>
          <w:sz w:val="24"/>
          <w:szCs w:val="24"/>
        </w:rPr>
        <w:t>Design and procedure</w:t>
      </w:r>
    </w:p>
    <w:p w14:paraId="05B20E14" w14:textId="5065B12D"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Study 9 involved 134 students (</w:t>
      </w:r>
      <w:r>
        <w:rPr>
          <w:rFonts w:ascii="Times New Roman" w:eastAsia="Times New Roman" w:hAnsi="Times New Roman" w:cs="Times New Roman"/>
          <w:i/>
          <w:iCs/>
          <w:sz w:val="24"/>
          <w:szCs w:val="24"/>
        </w:rPr>
        <w:t>M</w:t>
      </w:r>
      <w:r>
        <w:rPr>
          <w:rFonts w:ascii="Times New Roman" w:eastAsia="Times New Roman" w:hAnsi="Times New Roman" w:cs="Times New Roman"/>
          <w:sz w:val="24"/>
          <w:szCs w:val="24"/>
          <w:vertAlign w:val="subscript"/>
        </w:rPr>
        <w:t>age</w:t>
      </w:r>
      <w:r>
        <w:rPr>
          <w:rFonts w:ascii="Times New Roman" w:eastAsia="Times New Roman" w:hAnsi="Times New Roman" w:cs="Times New Roman"/>
          <w:sz w:val="24"/>
          <w:szCs w:val="24"/>
        </w:rPr>
        <w:t xml:space="preserve"> = 19.9; 48.1% female) from a large European business school in a single-factor (number of items: additive vs. subtractive) between-subjects design (pre-registration: </w:t>
      </w:r>
      <w:hyperlink r:id="rId17">
        <w:r>
          <w:rPr>
            <w:rFonts w:ascii="Times New Roman" w:eastAsia="Times New Roman" w:hAnsi="Times New Roman" w:cs="Times New Roman"/>
            <w:color w:val="0563C1"/>
            <w:sz w:val="24"/>
            <w:szCs w:val="24"/>
            <w:u w:val="single"/>
          </w:rPr>
          <w:t>https://aspredicted.org/wh62en.pdf</w:t>
        </w:r>
      </w:hyperlink>
      <w:r>
        <w:rPr>
          <w:rFonts w:ascii="Times New Roman" w:eastAsia="Times New Roman" w:hAnsi="Times New Roman" w:cs="Times New Roman"/>
          <w:sz w:val="24"/>
          <w:szCs w:val="24"/>
        </w:rPr>
        <w:t xml:space="preserve">). This scenario-based laboratory experiment asked participants to choose between eco-friendly products of high (reusable straws) and low (upcycled keychains) prototypicality as gifts for trade-show visitors; items were selected after a pre-test described in Appendix B. Participants imagined being interns selecting branded gifts for a company deeply committed to sustainability and keen to convey this to its customers. In the subtractive condition, the gift set had previously included a tote bag, brochures, a pen, a recycled-paper notebook, reusable straws, and an upcycled keychain, and one item, either the straws or the keychain, had to be excluded this year. In the additive condition, the set </w:t>
      </w:r>
      <w:r w:rsidR="000655D3">
        <w:rPr>
          <w:rFonts w:ascii="Times New Roman" w:eastAsia="Times New Roman" w:hAnsi="Times New Roman" w:cs="Times New Roman"/>
          <w:sz w:val="24"/>
          <w:szCs w:val="24"/>
        </w:rPr>
        <w:t>included</w:t>
      </w:r>
      <w:r>
        <w:rPr>
          <w:rFonts w:ascii="Times New Roman" w:eastAsia="Times New Roman" w:hAnsi="Times New Roman" w:cs="Times New Roman"/>
          <w:sz w:val="24"/>
          <w:szCs w:val="24"/>
        </w:rPr>
        <w:t xml:space="preserve"> a tote bag, brochures, a pen, and a recycled-paper notebook, to which either the straws or the keychain should be added. Participants indicated which of the two items they would exclude or add.</w:t>
      </w:r>
    </w:p>
    <w:p w14:paraId="05B20E15"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the basis of H3, we expected participants to choose the reusable straws (i.e., highly prototypical) when asked to add an item, and the upcycled keychain (i.e., of low prototypicality) when asked to remove one.</w:t>
      </w:r>
    </w:p>
    <w:p w14:paraId="05B20E16" w14:textId="77777777" w:rsidR="00932051" w:rsidRPr="000460EB" w:rsidRDefault="00525931">
      <w:pPr>
        <w:spacing w:after="0" w:line="480" w:lineRule="auto"/>
        <w:jc w:val="both"/>
        <w:rPr>
          <w:rFonts w:ascii="Times New Roman" w:eastAsia="Times New Roman" w:hAnsi="Times New Roman" w:cs="Times New Roman"/>
          <w:b/>
          <w:bCs/>
          <w:sz w:val="24"/>
          <w:szCs w:val="24"/>
        </w:rPr>
      </w:pPr>
      <w:r w:rsidRPr="000460EB">
        <w:rPr>
          <w:rFonts w:ascii="Times New Roman" w:eastAsia="Times New Roman" w:hAnsi="Times New Roman" w:cs="Times New Roman"/>
          <w:b/>
          <w:bCs/>
          <w:sz w:val="24"/>
          <w:szCs w:val="24"/>
        </w:rPr>
        <w:t>Results</w:t>
      </w:r>
    </w:p>
    <w:p w14:paraId="05B20E17"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Chi-square test between condition and product choice revealed, as illustrated in Figure 4, a significant difference in the choices participants made (Pearson Chi-</w:t>
      </w:r>
      <w:proofErr w:type="gramStart"/>
      <w:r>
        <w:rPr>
          <w:rFonts w:ascii="Times New Roman" w:eastAsia="Times New Roman" w:hAnsi="Times New Roman" w:cs="Times New Roman"/>
          <w:sz w:val="24"/>
          <w:szCs w:val="24"/>
        </w:rPr>
        <w:t>square</w:t>
      </w:r>
      <w:r>
        <w:rPr>
          <w:rFonts w:ascii="Times New Roman" w:eastAsia="Times New Roman" w:hAnsi="Times New Roman" w:cs="Times New Roman"/>
          <w:sz w:val="24"/>
          <w:szCs w:val="24"/>
          <w:vertAlign w:val="subscript"/>
        </w:rPr>
        <w:t>(</w:t>
      </w:r>
      <w:proofErr w:type="gramEnd"/>
      <w:r>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rPr>
        <w:t xml:space="preserve"> = 10.764, </w:t>
      </w:r>
      <w:r>
        <w:rPr>
          <w:rFonts w:ascii="Times New Roman" w:eastAsia="Times New Roman" w:hAnsi="Times New Roman" w:cs="Times New Roman"/>
          <w:i/>
          <w:iCs/>
          <w:sz w:val="24"/>
          <w:szCs w:val="24"/>
        </w:rPr>
        <w:t>p</w:t>
      </w:r>
      <w:r>
        <w:rPr>
          <w:rFonts w:ascii="Times New Roman" w:eastAsia="Times New Roman" w:hAnsi="Times New Roman" w:cs="Times New Roman"/>
          <w:sz w:val="24"/>
          <w:szCs w:val="24"/>
        </w:rPr>
        <w:t xml:space="preserve"> &lt; .001). Under subtractive conditions, 63.6% of participants opted to remove the low-prototypicality product (i.e., upcycled keychain) from the gift set (36.4% opted to remove the reusable straws); similarly, when asked to add an item, participants preferred the high-prototypicality product (reusable straws; 64.7%) over the low-prototypicality one (upcycled keychain; 35.3%).</w:t>
      </w:r>
    </w:p>
    <w:p w14:paraId="05B20E1A" w14:textId="77777777" w:rsidR="00932051" w:rsidRDefault="00525931">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05B20E99" wp14:editId="418A0965">
            <wp:extent cx="4800600" cy="3022600"/>
            <wp:effectExtent l="0" t="0" r="0" b="635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8"/>
                    <a:srcRect l="1894" t="2227" r="2627" b="1346"/>
                    <a:stretch>
                      <a:fillRect/>
                    </a:stretch>
                  </pic:blipFill>
                  <pic:spPr bwMode="auto">
                    <a:xfrm>
                      <a:off x="0" y="0"/>
                      <a:ext cx="4801823" cy="3023370"/>
                    </a:xfrm>
                    <a:prstGeom prst="rect">
                      <a:avLst/>
                    </a:prstGeom>
                    <a:ln>
                      <a:noFill/>
                    </a:ln>
                    <a:extLst>
                      <a:ext uri="{53640926-AAD7-44D8-BBD7-CCE9431645EC}">
                        <a14:shadowObscured xmlns:a14="http://schemas.microsoft.com/office/drawing/2010/main"/>
                      </a:ext>
                    </a:extLst>
                  </pic:spPr>
                </pic:pic>
              </a:graphicData>
            </a:graphic>
          </wp:inline>
        </w:drawing>
      </w:r>
    </w:p>
    <w:p w14:paraId="05B20E1B" w14:textId="2D9EB823" w:rsidR="00932051" w:rsidRDefault="00525931">
      <w:pPr>
        <w:spacing w:after="0"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Fig</w:t>
      </w:r>
      <w:r w:rsidR="009C2FF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4 </w:t>
      </w:r>
      <w:r w:rsidRPr="009C2FFC">
        <w:rPr>
          <w:rFonts w:ascii="Times New Roman" w:eastAsia="Times New Roman" w:hAnsi="Times New Roman" w:cs="Times New Roman"/>
          <w:sz w:val="24"/>
          <w:szCs w:val="24"/>
        </w:rPr>
        <w:t>Choices made between eco-friendly items of high and low prototypicality</w:t>
      </w:r>
    </w:p>
    <w:p w14:paraId="05B20E1C" w14:textId="77777777" w:rsidR="00932051" w:rsidRDefault="00932051">
      <w:pPr>
        <w:spacing w:after="0" w:line="480" w:lineRule="auto"/>
        <w:jc w:val="both"/>
        <w:rPr>
          <w:rFonts w:ascii="Times New Roman" w:eastAsia="Times New Roman" w:hAnsi="Times New Roman" w:cs="Times New Roman"/>
          <w:sz w:val="24"/>
          <w:szCs w:val="24"/>
        </w:rPr>
      </w:pPr>
    </w:p>
    <w:p w14:paraId="05B20E1D"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results support H3: to convey the most sustainable image, participants preferred to add a highly prototypical component when the gift set had fewer items, and to retain the more prototypical item when required to remove one.</w:t>
      </w:r>
    </w:p>
    <w:p w14:paraId="05B20E1E" w14:textId="77777777" w:rsidR="00932051" w:rsidRDefault="00932051">
      <w:pPr>
        <w:spacing w:after="0" w:line="480" w:lineRule="auto"/>
      </w:pPr>
    </w:p>
    <w:p w14:paraId="05B20E1F" w14:textId="77777777" w:rsidR="00932051" w:rsidRDefault="00525931">
      <w:pPr>
        <w:spacing w:line="48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General discussion </w:t>
      </w:r>
    </w:p>
    <w:p w14:paraId="05B20E20"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introduces and systematically tests the sustainable additive bias. Through a series of controlled experiments and a field study with different consumer segments, we demonstrate its robustness across contexts, product categories, and evaluation settings, and show that it persists even when subtractive solutions objectively generate less waste or reduce resource use.</w:t>
      </w:r>
    </w:p>
    <w:p w14:paraId="05B20E21" w14:textId="77777777" w:rsidR="00932051" w:rsidRPr="000460EB" w:rsidRDefault="00525931">
      <w:pPr>
        <w:spacing w:line="480" w:lineRule="auto"/>
        <w:jc w:val="both"/>
        <w:rPr>
          <w:rFonts w:ascii="Times New Roman" w:eastAsia="Times New Roman" w:hAnsi="Times New Roman" w:cs="Times New Roman"/>
          <w:b/>
          <w:bCs/>
          <w:sz w:val="24"/>
          <w:szCs w:val="24"/>
        </w:rPr>
      </w:pPr>
      <w:r w:rsidRPr="000460EB">
        <w:rPr>
          <w:rFonts w:ascii="Times New Roman" w:eastAsia="Times New Roman" w:hAnsi="Times New Roman" w:cs="Times New Roman"/>
          <w:b/>
          <w:bCs/>
          <w:sz w:val="24"/>
          <w:szCs w:val="24"/>
        </w:rPr>
        <w:t>Theoretical contributions</w:t>
      </w:r>
    </w:p>
    <w:p w14:paraId="05B20E22" w14:textId="74C8B38E"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advances the literature in three ways that extend beyond the sustainability domain and speak</w:t>
      </w:r>
      <w:r w:rsidR="005C51D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to fundamental questions about how consumers infer company’s sustainability intent from product configurations. </w:t>
      </w:r>
    </w:p>
    <w:p w14:paraId="05B20E23"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First, this research highlights a divergence between environmental impact and consumers’ sustainability judgments. Although sustainability is fundamentally about reducing environmental harm, it is judged not through objective parameters but through subjective, biased perceptions: adding eco-friendly components enhances sustainability judgments even when it increases resource use and waste, whereas removing them lowers those judgments even when it reduces resource use. </w:t>
      </w:r>
    </w:p>
    <w:p w14:paraId="05B20E24"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Accordingly, sustainability judgments are governed by distinct evaluative processes: consumers shift their reasoning depending on whether the components are eco-friendly or traditional. For eco-friendly components, each addition is read as evidence that the company is investing effort in sustainability, whereas removal signals reduced perceived environmental effort even when it lowers environmental impact. For traditional components the logic reverses: reducing components is seen as more sustainable, because fewer inputs imply less production and waste, aligning consumers’ reasoning with environmental principles of reduction and efficiency. </w:t>
      </w:r>
    </w:p>
    <w:p w14:paraId="05B20E25"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processes may explain why some sustainability initiatives produce unintended perceptual outcomes (Acuti et al. 2022): subtraction strategies designed to reduce impact may fail to generate positive perceptions if read as a loss of sustainability signals, whereas additional eco-friendly features may be positively evaluated even when they worsen the environmental footprint. </w:t>
      </w:r>
    </w:p>
    <w:p w14:paraId="05B20E26" w14:textId="77777777"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Second, this paper refines existing research on sustainability cues by showing that consumers do not simply rely on heuristic signals of “greenness,” but interpret these signals as indicators of organizational effort towards sustainability, so that actions which objectively improve environmental outcomes can remain underappreciated if they are not read as a visible signal of effort. Whereas prior cue-based inference research has largely treated individual cues (e.g., labels, color, material) as signals of greenness in isolation (</w:t>
      </w:r>
      <w:proofErr w:type="spellStart"/>
      <w:r>
        <w:rPr>
          <w:rFonts w:ascii="Times New Roman" w:eastAsia="Times New Roman" w:hAnsi="Times New Roman" w:cs="Times New Roman"/>
          <w:sz w:val="24"/>
          <w:szCs w:val="24"/>
        </w:rPr>
        <w:t>Pichierri</w:t>
      </w:r>
      <w:proofErr w:type="spellEnd"/>
      <w:r>
        <w:rPr>
          <w:rFonts w:ascii="Times New Roman" w:eastAsia="Times New Roman" w:hAnsi="Times New Roman" w:cs="Times New Roman"/>
          <w:sz w:val="24"/>
          <w:szCs w:val="24"/>
        </w:rPr>
        <w:t xml:space="preserve"> and Pino 2023; Sokolova </w:t>
      </w:r>
      <w:r>
        <w:rPr>
          <w:rFonts w:ascii="Times New Roman" w:eastAsia="Times New Roman" w:hAnsi="Times New Roman" w:cs="Times New Roman"/>
          <w:sz w:val="24"/>
          <w:szCs w:val="24"/>
        </w:rPr>
        <w:lastRenderedPageBreak/>
        <w:t>et al. 2023; Steenis et al. 2017), we show that the number and direction of cue change is itself diagnostic, and that consumers translate it into an inference about corporate environmental effort. In doing so, we extend the additive-subtractive asymmetry documented in problem-solving (Adams et al. 2021) to the domain of judgment, and specifically to sustainability judgment, a context in which subtraction naturally arises. We further identify the mechanism behind this asymmetry: consumers infer a company's environmental commitment from the effort it appears to have invested, and this perceived effort outweighs perceived impact in shaping their judgment.</w:t>
      </w:r>
    </w:p>
    <w:p w14:paraId="05B20E27" w14:textId="15F1ACFF" w:rsidR="00932051" w:rsidRDefault="0052593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this research clarifies the role of visibility in shaping inferences of corporate environmental effort. Because effort is rarely directly observable, consumers rely on visible cues to infer it, creating an asymmetry between additive and subtractive strategies: additions generate visible markers read as evidence of action, whereas subtractions leave fewer visible traces even when removing components requires substantial design or operational effort. This extends research on sustainability cues and omission neglect by showing that visibility shapes not only sustainability perceptions directly but also </w:t>
      </w:r>
      <w:r w:rsidR="00E76140">
        <w:rPr>
          <w:rFonts w:ascii="Times New Roman" w:eastAsia="Times New Roman" w:hAnsi="Times New Roman" w:cs="Times New Roman"/>
          <w:sz w:val="24"/>
          <w:szCs w:val="24"/>
        </w:rPr>
        <w:t>inference</w:t>
      </w:r>
      <w:r>
        <w:rPr>
          <w:rFonts w:ascii="Times New Roman" w:eastAsia="Times New Roman" w:hAnsi="Times New Roman" w:cs="Times New Roman"/>
          <w:sz w:val="24"/>
          <w:szCs w:val="24"/>
        </w:rPr>
        <w:t xml:space="preserve"> of corporate environmental effort.</w:t>
      </w:r>
    </w:p>
    <w:p w14:paraId="05B20E28"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Our results also demonstrate that this can be partially mitigated through prototypical cues: when a component is strongly associated with sustainability, such as a refillable or reusable element, it activates category-based inferences that help consumers recognize sustainability even when fewer cues are present, compensating for their reduced number by strengthening the interpretability of those that remain.</w:t>
      </w:r>
    </w:p>
    <w:p w14:paraId="05B20E29" w14:textId="77777777" w:rsidR="00932051" w:rsidRDefault="00932051">
      <w:pPr>
        <w:spacing w:after="0" w:line="480" w:lineRule="auto"/>
        <w:jc w:val="both"/>
        <w:rPr>
          <w:rFonts w:ascii="Times New Roman" w:eastAsia="Times New Roman" w:hAnsi="Times New Roman" w:cs="Times New Roman"/>
          <w:sz w:val="24"/>
          <w:szCs w:val="24"/>
        </w:rPr>
      </w:pPr>
    </w:p>
    <w:p w14:paraId="05B20E2A" w14:textId="77777777" w:rsidR="00932051" w:rsidRPr="000460EB" w:rsidRDefault="00525931">
      <w:pPr>
        <w:spacing w:line="480" w:lineRule="auto"/>
        <w:jc w:val="both"/>
        <w:rPr>
          <w:rFonts w:ascii="Times New Roman" w:eastAsia="Times New Roman" w:hAnsi="Times New Roman" w:cs="Times New Roman"/>
          <w:b/>
          <w:bCs/>
          <w:sz w:val="24"/>
          <w:szCs w:val="24"/>
        </w:rPr>
      </w:pPr>
      <w:r w:rsidRPr="000460EB">
        <w:rPr>
          <w:rFonts w:ascii="Times New Roman" w:eastAsia="Times New Roman" w:hAnsi="Times New Roman" w:cs="Times New Roman"/>
          <w:b/>
          <w:bCs/>
          <w:sz w:val="24"/>
          <w:szCs w:val="24"/>
        </w:rPr>
        <w:t>Managerial implications</w:t>
      </w:r>
    </w:p>
    <w:p w14:paraId="05B20E2B" w14:textId="04A987FD"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Companies that remove traditional components are judged as more sustainable, so they can both act sustainably and be perceived as doing so when </w:t>
      </w:r>
      <w:r w:rsidR="00E76140">
        <w:rPr>
          <w:rFonts w:ascii="Times New Roman" w:eastAsia="Times New Roman" w:hAnsi="Times New Roman" w:cs="Times New Roman"/>
          <w:sz w:val="24"/>
          <w:szCs w:val="24"/>
        </w:rPr>
        <w:t>innovation</w:t>
      </w:r>
      <w:r>
        <w:rPr>
          <w:rFonts w:ascii="Times New Roman" w:eastAsia="Times New Roman" w:hAnsi="Times New Roman" w:cs="Times New Roman"/>
          <w:sz w:val="24"/>
          <w:szCs w:val="24"/>
        </w:rPr>
        <w:t xml:space="preserve"> involves subtracting non-eco-friendly elements. Simplifying an offering by eliminating resource-intensive or harmful </w:t>
      </w:r>
      <w:r>
        <w:rPr>
          <w:rFonts w:ascii="Times New Roman" w:eastAsia="Times New Roman" w:hAnsi="Times New Roman" w:cs="Times New Roman"/>
          <w:sz w:val="24"/>
          <w:szCs w:val="24"/>
        </w:rPr>
        <w:lastRenderedPageBreak/>
        <w:t>components may be intuited as a credible signal of sustainability, and this does not come at the expense of overall evaluations: consumer attitudes do not decrease when traditional components are removed.</w:t>
      </w:r>
    </w:p>
    <w:p w14:paraId="05B20E2C"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the same time, adding eco-friendly components may yield short-term reputational gains without translating into actual environmental benefit. For organizations genuinely committed to sustainability, this presents a strategic dilemma: how to communicate environmentally responsible behavior that involves reduction or restraint, which is often less visible and appears counterintuitive to consumers.  </w:t>
      </w:r>
    </w:p>
    <w:p w14:paraId="05B20E2D"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solution may lie in enhancing the prototypicality of subtractive offerings, as evidenced in Studies 8 and 9. Prototypical eco-friendly items (e.g., reusable bottles, bamboo cutlery) can bridge the gap between actual and perceived sustainability when components are removed: making the remaining items clearly and recognizably eco-friendly helps consumers perceive the offering as genuinely sustainable (Grewal et al. 2024).</w:t>
      </w:r>
    </w:p>
    <w:p w14:paraId="05B20E2E"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solution is to emphasize the effort involved in subtraction. Because consumers read visible eco-friendly cues as signals of genuine commitment, subtractive changes may be perceived as “less” and yield lower judgments of effort. Companies should therefore make that effort prominent, for example by communicating the environmental logic behind reduction decisions or framing subtractive actions as deliberate choices requiring innovation and long-term commitment. Consumers accept changes made for a clear reason and are less skeptical when motivations are explained, so reframing subtraction as a deliberate and effortful sustainability action aligns perceptions with actual impact and reinforces trust.</w:t>
      </w:r>
    </w:p>
    <w:p w14:paraId="05B20E2F"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a policy perspective, eco-certifications and public awareness campaigns should extend beyond labeling to emphasize the effectiveness of minimalist solutions, with policymakers and NGOs celebrating reduction as a virtue and promoting examples in which "doing less" yields </w:t>
      </w:r>
      <w:r>
        <w:rPr>
          <w:rFonts w:ascii="Times New Roman" w:eastAsia="Times New Roman" w:hAnsi="Times New Roman" w:cs="Times New Roman"/>
          <w:sz w:val="24"/>
          <w:szCs w:val="24"/>
        </w:rPr>
        <w:lastRenderedPageBreak/>
        <w:t>better environmental outcomes. Policymakers can also shape how prototypicality is attributed, directing attention toward initiatives that deliver genuine environmental benefit rather than symbolic sustainability, since prototypicality, while enabling firms to signal sustainability with fewer components, can still drive overproduction of products with limited practical value.</w:t>
      </w:r>
    </w:p>
    <w:p w14:paraId="05B20E30" w14:textId="77777777" w:rsidR="00932051" w:rsidRDefault="00932051">
      <w:pPr>
        <w:spacing w:line="480" w:lineRule="auto"/>
        <w:jc w:val="both"/>
        <w:rPr>
          <w:rFonts w:ascii="Times New Roman" w:eastAsia="Times New Roman" w:hAnsi="Times New Roman" w:cs="Times New Roman"/>
          <w:b/>
          <w:bCs/>
          <w:sz w:val="28"/>
          <w:szCs w:val="28"/>
        </w:rPr>
      </w:pPr>
    </w:p>
    <w:p w14:paraId="05B20E31" w14:textId="77777777" w:rsidR="00932051" w:rsidRDefault="00525931">
      <w:pPr>
        <w:spacing w:line="48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Limitations and research agenda </w:t>
      </w:r>
    </w:p>
    <w:p w14:paraId="05B20E32" w14:textId="77777777" w:rsidR="00932051" w:rsidRDefault="00525931">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The limitations of this research, as well as its findings, pave the way for a number of significant research directions in relation to sustainability and marketing (Sheth et al., 2011; Borah et al. 2023).  </w:t>
      </w:r>
      <w:r>
        <w:rPr>
          <w:rFonts w:ascii="Times New Roman" w:eastAsia="Times New Roman" w:hAnsi="Times New Roman" w:cs="Times New Roman"/>
          <w:b/>
          <w:bCs/>
          <w:sz w:val="24"/>
          <w:szCs w:val="24"/>
        </w:rPr>
        <w:t xml:space="preserve"> </w:t>
      </w:r>
    </w:p>
    <w:p w14:paraId="05B20E33" w14:textId="3309D9E5"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In this paper, </w:t>
      </w:r>
      <w:r>
        <w:rPr>
          <w:rFonts w:ascii="Times New Roman" w:eastAsia="Times New Roman" w:hAnsi="Times New Roman" w:cs="Times New Roman"/>
          <w:sz w:val="24"/>
          <w:szCs w:val="24"/>
        </w:rPr>
        <w:t xml:space="preserve">we show that the sustainable additive bias can have negative environmental consequences, such as increasing consumer waste </w:t>
      </w:r>
      <w:proofErr w:type="gramStart"/>
      <w:r>
        <w:rPr>
          <w:rFonts w:ascii="Times New Roman" w:eastAsia="Times New Roman" w:hAnsi="Times New Roman" w:cs="Times New Roman"/>
          <w:sz w:val="24"/>
          <w:szCs w:val="24"/>
        </w:rPr>
        <w:t>as a result of</w:t>
      </w:r>
      <w:proofErr w:type="gramEnd"/>
      <w:r>
        <w:rPr>
          <w:rFonts w:ascii="Times New Roman" w:eastAsia="Times New Roman" w:hAnsi="Times New Roman" w:cs="Times New Roman"/>
          <w:sz w:val="24"/>
          <w:szCs w:val="24"/>
        </w:rPr>
        <w:t xml:space="preserve"> additive offerings. In some cases, however, there may be positive implications. A larger variety of sustainable items can raise awareness of eco-friendly alternatives and deter consumers from choosing a less sustainable option, as when a locally produced, organic snack displaces a conventionally produced one. Beyond the single purchase, sustainable products that encourage behavior change, such as a reusable water bottle, could help reduce environmental impacts and foster lasting sustainable consumption habits (</w:t>
      </w:r>
      <w:proofErr w:type="spellStart"/>
      <w:r>
        <w:rPr>
          <w:rFonts w:ascii="Times New Roman" w:eastAsia="Times New Roman" w:hAnsi="Times New Roman" w:cs="Times New Roman"/>
          <w:sz w:val="24"/>
          <w:szCs w:val="24"/>
        </w:rPr>
        <w:t>Verplanken</w:t>
      </w:r>
      <w:proofErr w:type="spellEnd"/>
      <w:r>
        <w:rPr>
          <w:rFonts w:ascii="Times New Roman" w:eastAsia="Times New Roman" w:hAnsi="Times New Roman" w:cs="Times New Roman"/>
          <w:sz w:val="24"/>
          <w:szCs w:val="24"/>
        </w:rPr>
        <w:t xml:space="preserve"> and Roy 2016). </w:t>
      </w:r>
    </w:p>
    <w:p w14:paraId="05B20E34" w14:textId="1BF90414"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Because we demonstrate the undervaluation of the environmental benefits of subtractive offerings, we encourage future studies on subtraction framings that differ from "reduction" or "deprivation." Recent work shows the efficacy of eco-innovation (</w:t>
      </w:r>
      <w:proofErr w:type="spellStart"/>
      <w:r>
        <w:rPr>
          <w:rFonts w:ascii="Times New Roman" w:eastAsia="Times New Roman" w:hAnsi="Times New Roman" w:cs="Times New Roman"/>
          <w:sz w:val="24"/>
          <w:szCs w:val="24"/>
        </w:rPr>
        <w:t>Paparoidamis</w:t>
      </w:r>
      <w:proofErr w:type="spellEnd"/>
      <w:r>
        <w:rPr>
          <w:rFonts w:ascii="Times New Roman" w:eastAsia="Times New Roman" w:hAnsi="Times New Roman" w:cs="Times New Roman"/>
          <w:sz w:val="24"/>
          <w:szCs w:val="24"/>
        </w:rPr>
        <w:t xml:space="preserve"> et al. 2019) and minimalism (</w:t>
      </w:r>
      <w:proofErr w:type="spellStart"/>
      <w:r>
        <w:rPr>
          <w:rFonts w:ascii="Times New Roman" w:eastAsia="Times New Roman" w:hAnsi="Times New Roman" w:cs="Times New Roman"/>
          <w:sz w:val="24"/>
          <w:szCs w:val="24"/>
        </w:rPr>
        <w:t>Huijsmans</w:t>
      </w:r>
      <w:proofErr w:type="spellEnd"/>
      <w:r>
        <w:rPr>
          <w:rFonts w:ascii="Times New Roman" w:eastAsia="Times New Roman" w:hAnsi="Times New Roman" w:cs="Times New Roman"/>
          <w:sz w:val="24"/>
          <w:szCs w:val="24"/>
        </w:rPr>
        <w:t xml:space="preserve"> et al. 2025) framings in encouraging resource-use reduction: when sustainability is perceived as eco-innovation, it enhances customer value and strengthens beliefs about environmental friendliness, so framing subtractions this way could help consumers perceive them as a net gain. Narratives that emphasize "less but better</w:t>
      </w:r>
      <w:r w:rsidR="00056E5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 reduced waste </w:t>
      </w:r>
      <w:r>
        <w:rPr>
          <w:rFonts w:ascii="Times New Roman" w:eastAsia="Times New Roman" w:hAnsi="Times New Roman" w:cs="Times New Roman"/>
          <w:sz w:val="24"/>
          <w:szCs w:val="24"/>
        </w:rPr>
        <w:lastRenderedPageBreak/>
        <w:t xml:space="preserve">and greater simplicity, could likewise counteract the intuitive bias toward "more is greener" and, over time, help reshape sustainability norms. </w:t>
      </w:r>
    </w:p>
    <w:p w14:paraId="05B20E35" w14:textId="3B1E3D98"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Consumers may infer different motivations for additive and subtractive solutions, reading the latter as cost-cutting rather than environmentally motivated, thereby undermining perceptions of genuine sustainability (Groza et al. 2011). Future research could examine how attributions of corporate motive (</w:t>
      </w:r>
      <w:proofErr w:type="spellStart"/>
      <w:r>
        <w:rPr>
          <w:rFonts w:ascii="Times New Roman" w:eastAsia="Times New Roman" w:hAnsi="Times New Roman" w:cs="Times New Roman"/>
          <w:sz w:val="24"/>
          <w:szCs w:val="24"/>
        </w:rPr>
        <w:t>Verlegh</w:t>
      </w:r>
      <w:proofErr w:type="spellEnd"/>
      <w:r>
        <w:rPr>
          <w:rFonts w:ascii="Times New Roman" w:eastAsia="Times New Roman" w:hAnsi="Times New Roman" w:cs="Times New Roman"/>
          <w:sz w:val="24"/>
          <w:szCs w:val="24"/>
        </w:rPr>
        <w:t xml:space="preserve"> et al. 2013; e.g., environmental concern vs. profit maximization) shape these perceptions. More broadly, because communicating corporate environmental effort can neutralize the bias (Study 7) yet may also activate trust or credibility, future work could disentangle these roles and test whether transparency (De Ruyter et al. 2022) or explanatory framing (</w:t>
      </w:r>
      <w:proofErr w:type="spellStart"/>
      <w:r>
        <w:rPr>
          <w:rFonts w:ascii="Times New Roman" w:eastAsia="Times New Roman" w:hAnsi="Times New Roman" w:cs="Times New Roman"/>
          <w:sz w:val="24"/>
          <w:szCs w:val="24"/>
        </w:rPr>
        <w:t>Reppmann</w:t>
      </w:r>
      <w:proofErr w:type="spellEnd"/>
      <w:r>
        <w:rPr>
          <w:rFonts w:ascii="Times New Roman" w:eastAsia="Times New Roman" w:hAnsi="Times New Roman" w:cs="Times New Roman"/>
          <w:sz w:val="24"/>
          <w:szCs w:val="24"/>
        </w:rPr>
        <w:t xml:space="preserve"> et al. 2024) reframes subtraction cues more effectively, and whether collaborative dynamics between firms and consumers (</w:t>
      </w:r>
      <w:proofErr w:type="spellStart"/>
      <w:r>
        <w:rPr>
          <w:rFonts w:ascii="Times New Roman" w:eastAsia="Times New Roman" w:hAnsi="Times New Roman" w:cs="Times New Roman"/>
          <w:sz w:val="24"/>
          <w:szCs w:val="24"/>
        </w:rPr>
        <w:t>Nenkov</w:t>
      </w:r>
      <w:proofErr w:type="spellEnd"/>
      <w:r>
        <w:rPr>
          <w:rFonts w:ascii="Times New Roman" w:eastAsia="Times New Roman" w:hAnsi="Times New Roman" w:cs="Times New Roman"/>
          <w:sz w:val="24"/>
          <w:szCs w:val="24"/>
        </w:rPr>
        <w:t xml:space="preserve"> 2024) shift the perception of subtraction from a loss to a shared investment.  </w:t>
      </w:r>
    </w:p>
    <w:p w14:paraId="05B20E36" w14:textId="122DD141" w:rsidR="00932051" w:rsidRDefault="00525931">
      <w:pPr>
        <w:spacing w:line="480" w:lineRule="auto"/>
        <w:jc w:val="both"/>
      </w:pPr>
      <w:r>
        <w:rPr>
          <w:rFonts w:ascii="Times New Roman" w:eastAsia="Times New Roman" w:hAnsi="Times New Roman" w:cs="Times New Roman"/>
          <w:color w:val="000000"/>
          <w:sz w:val="24"/>
          <w:szCs w:val="24"/>
        </w:rPr>
        <w:t xml:space="preserve">Finally, although including prototypically sustainable items signals corporate commitment and is easily actionable, it might also incite a backlash. Because prototypical products are widely discussed, they are also widely available: reusable tote bags and cups are routinely distributed at events to consumers who already own many, and the global market in reusable water bottles is expected to grow from $8.6 billion in 2024 to $11.2 billion by 2030 (Research and Markets 2025). Their ubiquity may reduce the appreciation associated with their use as gifts while generating overproduction and waste; The New York Times (2023) reported that an organic cotton tote bag must be used 20,000 times to offset the impact of its production. We therefore encourage future research on how the overuse or overdistribution of such items influences consumer perceptions and behaviors. </w:t>
      </w:r>
    </w:p>
    <w:p w14:paraId="05B20E37" w14:textId="02C166B6"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we used waste proportions to adjust for differences in total assortment weight (Study 2), this does not fully eliminate variation in option set composition; because waste was collected at the room level, item-level analysis is not feasible. Importantly, the additive and control </w:t>
      </w:r>
      <w:r>
        <w:rPr>
          <w:rFonts w:ascii="Times New Roman" w:eastAsia="Times New Roman" w:hAnsi="Times New Roman" w:cs="Times New Roman"/>
          <w:sz w:val="24"/>
          <w:szCs w:val="24"/>
        </w:rPr>
        <w:lastRenderedPageBreak/>
        <w:t>conditions had nearly identical total weights (619g vs. 622g), yet the additive condition generated significantly more waste. Future research should nonetheless collect item-level waste data. Moreover, the finding that the bias disappears when environmental effort is explicitly communicated (Study 7) has not been replicated across contexts or product categories. Future research should test whether this boundary condition holds more widely and which forms of effort communication neutralize the bias, since explicitly highlighting the resources invested could also be perceived as self-promotional and trigger skepticism about a company's genuine commitment. Finally, our studies focus on environmental sustainability. Whether the sustainable additive bias extends to social sustainability (e.g., labor or community initiatives) – which may elicit different consumer responses (Catlin et al., 2017) - is an open question for future research.</w:t>
      </w:r>
    </w:p>
    <w:p w14:paraId="05B20E38" w14:textId="77777777" w:rsidR="00932051" w:rsidRDefault="00932051">
      <w:pPr>
        <w:spacing w:line="480" w:lineRule="auto"/>
        <w:jc w:val="both"/>
        <w:rPr>
          <w:rFonts w:ascii="Times New Roman" w:eastAsia="Times New Roman" w:hAnsi="Times New Roman" w:cs="Times New Roman"/>
          <w:b/>
          <w:bCs/>
          <w:sz w:val="28"/>
          <w:szCs w:val="28"/>
        </w:rPr>
      </w:pPr>
    </w:p>
    <w:p w14:paraId="05B20E39" w14:textId="77777777" w:rsidR="00932051" w:rsidRDefault="00525931">
      <w:pPr>
        <w:spacing w:line="48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Declaration</w:t>
      </w:r>
    </w:p>
    <w:p w14:paraId="05B20E3A" w14:textId="77777777" w:rsidR="00932051" w:rsidRDefault="00525931">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authors have no relevant financial or non-financial interests to disclose.</w:t>
      </w:r>
    </w:p>
    <w:p w14:paraId="05B20E3B" w14:textId="77777777" w:rsidR="00932051" w:rsidRDefault="00525931">
      <w:pPr>
        <w:spacing w:after="0" w:line="480" w:lineRule="auto"/>
      </w:pPr>
      <w:r>
        <w:br w:type="page"/>
      </w:r>
    </w:p>
    <w:p w14:paraId="05B20E3C" w14:textId="77777777" w:rsidR="00932051" w:rsidRDefault="00525931">
      <w:pPr>
        <w:spacing w:line="48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References</w:t>
      </w:r>
    </w:p>
    <w:p w14:paraId="05B20E3D"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Acuti, D., </w:t>
      </w:r>
      <w:proofErr w:type="spellStart"/>
      <w:r>
        <w:rPr>
          <w:rFonts w:ascii="Times New Roman" w:eastAsia="Times New Roman" w:hAnsi="Times New Roman" w:cs="Times New Roman"/>
          <w:sz w:val="24"/>
          <w:szCs w:val="24"/>
        </w:rPr>
        <w:t>Pizzetti</w:t>
      </w:r>
      <w:proofErr w:type="spellEnd"/>
      <w:r>
        <w:rPr>
          <w:rFonts w:ascii="Times New Roman" w:eastAsia="Times New Roman" w:hAnsi="Times New Roman" w:cs="Times New Roman"/>
          <w:sz w:val="24"/>
          <w:szCs w:val="24"/>
        </w:rPr>
        <w:t xml:space="preserve">, M., &amp; </w:t>
      </w:r>
      <w:proofErr w:type="spellStart"/>
      <w:r>
        <w:rPr>
          <w:rFonts w:ascii="Times New Roman" w:eastAsia="Times New Roman" w:hAnsi="Times New Roman" w:cs="Times New Roman"/>
          <w:sz w:val="24"/>
          <w:szCs w:val="24"/>
        </w:rPr>
        <w:t>Dolnicar</w:t>
      </w:r>
      <w:proofErr w:type="spellEnd"/>
      <w:r>
        <w:rPr>
          <w:rFonts w:ascii="Times New Roman" w:eastAsia="Times New Roman" w:hAnsi="Times New Roman" w:cs="Times New Roman"/>
          <w:sz w:val="24"/>
          <w:szCs w:val="24"/>
        </w:rPr>
        <w:t>, S. (2022). When sustainability backfires: A review on the unintended negative side‐effects of product and service sustainability on consumer behavior. </w:t>
      </w:r>
      <w:r>
        <w:rPr>
          <w:rFonts w:ascii="Times New Roman" w:eastAsia="Times New Roman" w:hAnsi="Times New Roman" w:cs="Times New Roman"/>
          <w:i/>
          <w:iCs/>
          <w:sz w:val="24"/>
          <w:szCs w:val="24"/>
        </w:rPr>
        <w:t>Psychology &amp; Marketing</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39</w:t>
      </w:r>
      <w:r>
        <w:rPr>
          <w:rFonts w:ascii="Times New Roman" w:eastAsia="Times New Roman" w:hAnsi="Times New Roman" w:cs="Times New Roman"/>
          <w:sz w:val="24"/>
          <w:szCs w:val="24"/>
        </w:rPr>
        <w:t xml:space="preserve">(10), 1933-1945. </w:t>
      </w:r>
    </w:p>
    <w:p w14:paraId="05B20E3E"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Adams, G. S., Converse, B. A., Hales, A. H., &amp; Klotz, L. E. (2021). People systematically overlook subtractive changes. </w:t>
      </w:r>
      <w:r>
        <w:rPr>
          <w:rFonts w:ascii="Times New Roman" w:eastAsia="Times New Roman" w:hAnsi="Times New Roman" w:cs="Times New Roman"/>
          <w:i/>
          <w:iCs/>
          <w:sz w:val="24"/>
          <w:szCs w:val="24"/>
        </w:rPr>
        <w:t>Nature</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592</w:t>
      </w:r>
      <w:r>
        <w:rPr>
          <w:rFonts w:ascii="Times New Roman" w:eastAsia="Times New Roman" w:hAnsi="Times New Roman" w:cs="Times New Roman"/>
          <w:sz w:val="24"/>
          <w:szCs w:val="24"/>
        </w:rPr>
        <w:t>(7853), 258-261.</w:t>
      </w:r>
    </w:p>
    <w:p w14:paraId="05B20E3F"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Adıgüzel, F., &amp; Donato, C. (2021). Proud to be sustainable: Upcycled versus recycled luxury products. </w:t>
      </w:r>
      <w:r>
        <w:rPr>
          <w:rFonts w:ascii="Times New Roman" w:eastAsia="Times New Roman" w:hAnsi="Times New Roman" w:cs="Times New Roman"/>
          <w:i/>
          <w:iCs/>
          <w:sz w:val="24"/>
          <w:szCs w:val="24"/>
        </w:rPr>
        <w:t>Journal of Business Research</w:t>
      </w:r>
      <w:r>
        <w:rPr>
          <w:rFonts w:ascii="Times New Roman" w:eastAsia="Times New Roman" w:hAnsi="Times New Roman" w:cs="Times New Roman"/>
          <w:sz w:val="24"/>
          <w:szCs w:val="24"/>
        </w:rPr>
        <w:t xml:space="preserve">, 130, 137-146. </w:t>
      </w:r>
    </w:p>
    <w:p w14:paraId="05B20E40"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Atkinson, L., &amp; Rosenthal, S. (2014). Signaling the green sell: The influence of eco-label source, argument specificity, and product involvement on consumer trust. </w:t>
      </w:r>
      <w:r>
        <w:rPr>
          <w:rFonts w:ascii="Times New Roman" w:eastAsia="Times New Roman" w:hAnsi="Times New Roman" w:cs="Times New Roman"/>
          <w:i/>
          <w:iCs/>
          <w:sz w:val="24"/>
          <w:szCs w:val="24"/>
        </w:rPr>
        <w:t>Journal of Advertising</w:t>
      </w:r>
      <w:r>
        <w:rPr>
          <w:rFonts w:ascii="Times New Roman" w:eastAsia="Times New Roman" w:hAnsi="Times New Roman" w:cs="Times New Roman"/>
          <w:sz w:val="24"/>
          <w:szCs w:val="24"/>
        </w:rPr>
        <w:t>, 43(1), 33-45.</w:t>
      </w:r>
    </w:p>
    <w:p w14:paraId="05B20E41"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 W. C. W., Lin, P. M. C., &amp; Chi, F. (2024). Nudging with colors to promote electric vehicle rentals. </w:t>
      </w:r>
      <w:r>
        <w:rPr>
          <w:rFonts w:ascii="Times New Roman" w:eastAsia="Times New Roman" w:hAnsi="Times New Roman" w:cs="Times New Roman"/>
          <w:i/>
          <w:iCs/>
          <w:sz w:val="24"/>
          <w:szCs w:val="24"/>
        </w:rPr>
        <w:t>Annals of Tourism Research</w:t>
      </w:r>
      <w:r>
        <w:rPr>
          <w:rFonts w:ascii="Times New Roman" w:eastAsia="Times New Roman" w:hAnsi="Times New Roman" w:cs="Times New Roman"/>
          <w:sz w:val="24"/>
          <w:szCs w:val="24"/>
        </w:rPr>
        <w:t xml:space="preserve">, 109, 103843. </w:t>
      </w:r>
    </w:p>
    <w:p w14:paraId="05B20E42"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Barnett, M. J., Hancock, P. I., Klotz, L. E., &amp; Attari, S. Z. (2023). Recycling bias and reduction neglect. </w:t>
      </w:r>
      <w:r>
        <w:rPr>
          <w:rFonts w:ascii="Times New Roman" w:eastAsia="Times New Roman" w:hAnsi="Times New Roman" w:cs="Times New Roman"/>
          <w:i/>
          <w:iCs/>
          <w:sz w:val="24"/>
          <w:szCs w:val="24"/>
        </w:rPr>
        <w:t>Nature Sustainability</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6</w:t>
      </w:r>
      <w:r>
        <w:rPr>
          <w:rFonts w:ascii="Times New Roman" w:eastAsia="Times New Roman" w:hAnsi="Times New Roman" w:cs="Times New Roman"/>
          <w:sz w:val="24"/>
          <w:szCs w:val="24"/>
        </w:rPr>
        <w:t>(11), 1418-1425.</w:t>
      </w:r>
    </w:p>
    <w:p w14:paraId="05B20E43"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Barsalou, L. W. (1985). Ideals, central tendency, and frequency of instantiation as determinants of graded structure in categories. </w:t>
      </w:r>
      <w:r>
        <w:rPr>
          <w:rFonts w:ascii="Times New Roman" w:eastAsia="Times New Roman" w:hAnsi="Times New Roman" w:cs="Times New Roman"/>
          <w:i/>
          <w:iCs/>
          <w:sz w:val="24"/>
          <w:szCs w:val="24"/>
        </w:rPr>
        <w:t>Journal of Experimental Psychology: Learning, Memory, and Cognition</w:t>
      </w:r>
      <w:r>
        <w:rPr>
          <w:rFonts w:ascii="Times New Roman" w:eastAsia="Times New Roman" w:hAnsi="Times New Roman" w:cs="Times New Roman"/>
          <w:sz w:val="24"/>
          <w:szCs w:val="24"/>
        </w:rPr>
        <w:t>, 11(4), 629.</w:t>
      </w:r>
    </w:p>
    <w:p w14:paraId="05B20E44"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Blackburn, R., Leviston, Z., &amp; Walker, I. (2025). The environmental impact and wellbeing benefits of minimalism. </w:t>
      </w:r>
      <w:r>
        <w:rPr>
          <w:rFonts w:ascii="Times New Roman" w:eastAsia="Times New Roman" w:hAnsi="Times New Roman" w:cs="Times New Roman"/>
          <w:i/>
          <w:iCs/>
          <w:sz w:val="24"/>
          <w:szCs w:val="24"/>
        </w:rPr>
        <w:t>Journal of Environmental Psychology</w:t>
      </w:r>
      <w:r>
        <w:rPr>
          <w:rFonts w:ascii="Times New Roman" w:eastAsia="Times New Roman" w:hAnsi="Times New Roman" w:cs="Times New Roman"/>
          <w:sz w:val="24"/>
          <w:szCs w:val="24"/>
        </w:rPr>
        <w:t>, 102618.</w:t>
      </w:r>
    </w:p>
    <w:p w14:paraId="05B20E45"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Borah, A., Bonetti, F., Calma, A., &amp; Martí-Parreño, J. (2023). The Journal of the Academy of Marketing Science at 50: A historical analysis. </w:t>
      </w:r>
      <w:r>
        <w:rPr>
          <w:rFonts w:ascii="Times New Roman" w:eastAsia="Times New Roman" w:hAnsi="Times New Roman" w:cs="Times New Roman"/>
          <w:i/>
          <w:iCs/>
          <w:sz w:val="24"/>
          <w:szCs w:val="24"/>
        </w:rPr>
        <w:t>Journal of the Academy of Marketing Science</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51</w:t>
      </w:r>
      <w:r>
        <w:rPr>
          <w:rFonts w:ascii="Times New Roman" w:eastAsia="Times New Roman" w:hAnsi="Times New Roman" w:cs="Times New Roman"/>
          <w:sz w:val="24"/>
          <w:szCs w:val="24"/>
        </w:rPr>
        <w:t>(1), 222-243.</w:t>
      </w:r>
    </w:p>
    <w:p w14:paraId="05B20E46"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Bruyninckx, H. H. D., Hellweg, S., </w:t>
      </w:r>
      <w:proofErr w:type="spellStart"/>
      <w:r>
        <w:rPr>
          <w:rFonts w:ascii="Times New Roman" w:eastAsia="Times New Roman" w:hAnsi="Times New Roman" w:cs="Times New Roman"/>
          <w:sz w:val="24"/>
          <w:szCs w:val="24"/>
        </w:rPr>
        <w:t>Schandl</w:t>
      </w:r>
      <w:proofErr w:type="spellEnd"/>
      <w:r>
        <w:rPr>
          <w:rFonts w:ascii="Times New Roman" w:eastAsia="Times New Roman" w:hAnsi="Times New Roman" w:cs="Times New Roman"/>
          <w:sz w:val="24"/>
          <w:szCs w:val="24"/>
        </w:rPr>
        <w:t xml:space="preserve">, S., Vidal, H., </w:t>
      </w:r>
      <w:proofErr w:type="spellStart"/>
      <w:r>
        <w:rPr>
          <w:rFonts w:ascii="Times New Roman" w:eastAsia="Times New Roman" w:hAnsi="Times New Roman" w:cs="Times New Roman"/>
          <w:sz w:val="24"/>
          <w:szCs w:val="24"/>
        </w:rPr>
        <w:t>Razian</w:t>
      </w:r>
      <w:proofErr w:type="spellEnd"/>
      <w:r>
        <w:rPr>
          <w:rFonts w:ascii="Times New Roman" w:eastAsia="Times New Roman" w:hAnsi="Times New Roman" w:cs="Times New Roman"/>
          <w:sz w:val="24"/>
          <w:szCs w:val="24"/>
        </w:rPr>
        <w:t xml:space="preserve">, B., Nohl, H., Marcos-Martinez, R., West, R., Lu, J., </w:t>
      </w:r>
      <w:proofErr w:type="spellStart"/>
      <w:r>
        <w:rPr>
          <w:rFonts w:ascii="Times New Roman" w:eastAsia="Times New Roman" w:hAnsi="Times New Roman" w:cs="Times New Roman"/>
          <w:sz w:val="24"/>
          <w:szCs w:val="24"/>
        </w:rPr>
        <w:t>Miatto</w:t>
      </w:r>
      <w:proofErr w:type="spellEnd"/>
      <w:r>
        <w:rPr>
          <w:rFonts w:ascii="Times New Roman" w:eastAsia="Times New Roman" w:hAnsi="Times New Roman" w:cs="Times New Roman"/>
          <w:sz w:val="24"/>
          <w:szCs w:val="24"/>
        </w:rPr>
        <w:t>, Y., et al. (2024) </w:t>
      </w:r>
      <w:r>
        <w:rPr>
          <w:rFonts w:ascii="Times New Roman" w:eastAsia="Times New Roman" w:hAnsi="Times New Roman" w:cs="Times New Roman"/>
          <w:i/>
          <w:iCs/>
          <w:sz w:val="24"/>
          <w:szCs w:val="24"/>
        </w:rPr>
        <w:t xml:space="preserve">Global Resources Outlook 2024: Bend the Trend-Pathways to a </w:t>
      </w:r>
      <w:proofErr w:type="spellStart"/>
      <w:r>
        <w:rPr>
          <w:rFonts w:ascii="Times New Roman" w:eastAsia="Times New Roman" w:hAnsi="Times New Roman" w:cs="Times New Roman"/>
          <w:i/>
          <w:iCs/>
          <w:sz w:val="24"/>
          <w:szCs w:val="24"/>
        </w:rPr>
        <w:t>Liveable</w:t>
      </w:r>
      <w:proofErr w:type="spellEnd"/>
      <w:r>
        <w:rPr>
          <w:rFonts w:ascii="Times New Roman" w:eastAsia="Times New Roman" w:hAnsi="Times New Roman" w:cs="Times New Roman"/>
          <w:i/>
          <w:iCs/>
          <w:sz w:val="24"/>
          <w:szCs w:val="24"/>
        </w:rPr>
        <w:t xml:space="preserve"> Planet as Resource Use Spikes</w:t>
      </w:r>
      <w:r>
        <w:rPr>
          <w:rFonts w:ascii="Times New Roman" w:eastAsia="Times New Roman" w:hAnsi="Times New Roman" w:cs="Times New Roman"/>
          <w:sz w:val="24"/>
          <w:szCs w:val="24"/>
        </w:rPr>
        <w:t xml:space="preserve">; United Nations Environment </w:t>
      </w:r>
      <w:proofErr w:type="spellStart"/>
      <w:r>
        <w:rPr>
          <w:rFonts w:ascii="Times New Roman" w:eastAsia="Times New Roman" w:hAnsi="Times New Roman" w:cs="Times New Roman"/>
          <w:sz w:val="24"/>
          <w:szCs w:val="24"/>
        </w:rPr>
        <w:t>Programme</w:t>
      </w:r>
      <w:proofErr w:type="spellEnd"/>
      <w:r>
        <w:rPr>
          <w:rFonts w:ascii="Times New Roman" w:eastAsia="Times New Roman" w:hAnsi="Times New Roman" w:cs="Times New Roman"/>
          <w:sz w:val="24"/>
          <w:szCs w:val="24"/>
        </w:rPr>
        <w:t>: Nairobi, Kenya.</w:t>
      </w:r>
    </w:p>
    <w:p w14:paraId="05B20E47"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Carson, S. J., Jewell, R. D., &amp; Joiner, C. (2007). Prototypicality advantages for pioneers over me-too brands: the role of evolving product designs. </w:t>
      </w:r>
      <w:r>
        <w:rPr>
          <w:rFonts w:ascii="Times New Roman" w:eastAsia="Times New Roman" w:hAnsi="Times New Roman" w:cs="Times New Roman"/>
          <w:i/>
          <w:iCs/>
          <w:sz w:val="24"/>
          <w:szCs w:val="24"/>
        </w:rPr>
        <w:t>Journal of the Academy of Marketing Science,</w:t>
      </w:r>
      <w:r>
        <w:rPr>
          <w:rFonts w:ascii="Times New Roman" w:eastAsia="Times New Roman" w:hAnsi="Times New Roman" w:cs="Times New Roman"/>
          <w:sz w:val="24"/>
          <w:szCs w:val="24"/>
        </w:rPr>
        <w:t xml:space="preserve"> 35, 172-183. </w:t>
      </w:r>
    </w:p>
    <w:p w14:paraId="05B20E48"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Carvalho, A. S. M., Godinho, C. I. A., &amp; Graça, J. (2022). Gain framing increases support for measures promoting plant-based eating in university settings. </w:t>
      </w:r>
      <w:r>
        <w:rPr>
          <w:rFonts w:ascii="Times New Roman" w:eastAsia="Times New Roman" w:hAnsi="Times New Roman" w:cs="Times New Roman"/>
          <w:i/>
          <w:iCs/>
          <w:sz w:val="24"/>
          <w:szCs w:val="24"/>
        </w:rPr>
        <w:t>Food Quality and Preference</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97</w:t>
      </w:r>
      <w:r>
        <w:rPr>
          <w:rFonts w:ascii="Times New Roman" w:eastAsia="Times New Roman" w:hAnsi="Times New Roman" w:cs="Times New Roman"/>
          <w:sz w:val="24"/>
          <w:szCs w:val="24"/>
        </w:rPr>
        <w:t>, 104500.</w:t>
      </w:r>
    </w:p>
    <w:p w14:paraId="05B20E49"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Catlin, J. R., Luchs, M. G., &amp; Phipps, M. (2017). Consumer perceptions of the social vs. environmental dimensions of sustainability. </w:t>
      </w:r>
      <w:r>
        <w:rPr>
          <w:rFonts w:ascii="Times New Roman" w:eastAsia="Times New Roman" w:hAnsi="Times New Roman" w:cs="Times New Roman"/>
          <w:i/>
          <w:iCs/>
          <w:sz w:val="24"/>
          <w:szCs w:val="24"/>
        </w:rPr>
        <w:t>Journal of Consumer Policy</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40</w:t>
      </w:r>
      <w:r>
        <w:rPr>
          <w:rFonts w:ascii="Times New Roman" w:eastAsia="Times New Roman" w:hAnsi="Times New Roman" w:cs="Times New Roman"/>
          <w:sz w:val="24"/>
          <w:szCs w:val="24"/>
        </w:rPr>
        <w:t xml:space="preserve">(3), 245-277. </w:t>
      </w:r>
    </w:p>
    <w:p w14:paraId="05B20E4A"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 E. K., &amp; Wan, L. C. (2023). </w:t>
      </w:r>
      <w:proofErr w:type="gramStart"/>
      <w:r>
        <w:rPr>
          <w:rFonts w:ascii="Times New Roman" w:eastAsia="Times New Roman" w:hAnsi="Times New Roman" w:cs="Times New Roman"/>
          <w:sz w:val="24"/>
          <w:szCs w:val="24"/>
        </w:rPr>
        <w:t>How</w:t>
      </w:r>
      <w:proofErr w:type="gramEnd"/>
      <w:r>
        <w:rPr>
          <w:rFonts w:ascii="Times New Roman" w:eastAsia="Times New Roman" w:hAnsi="Times New Roman" w:cs="Times New Roman"/>
          <w:sz w:val="24"/>
          <w:szCs w:val="24"/>
        </w:rPr>
        <w:t xml:space="preserve"> eco-certificate/effort influences hotel preference. </w:t>
      </w:r>
      <w:r>
        <w:rPr>
          <w:rFonts w:ascii="Times New Roman" w:eastAsia="Times New Roman" w:hAnsi="Times New Roman" w:cs="Times New Roman"/>
          <w:i/>
          <w:iCs/>
          <w:sz w:val="24"/>
          <w:szCs w:val="24"/>
        </w:rPr>
        <w:t>Annals of Tourism Research</w:t>
      </w:r>
      <w:r>
        <w:rPr>
          <w:rFonts w:ascii="Times New Roman" w:eastAsia="Times New Roman" w:hAnsi="Times New Roman" w:cs="Times New Roman"/>
          <w:sz w:val="24"/>
          <w:szCs w:val="24"/>
        </w:rPr>
        <w:t>, 101, 103616.</w:t>
      </w:r>
    </w:p>
    <w:p w14:paraId="05B20E4B"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Chernev, A., &amp; Blair, S. (2021). When sustainability is not a liability: The halo effect of marketplace morality. </w:t>
      </w:r>
      <w:r>
        <w:rPr>
          <w:rFonts w:ascii="Times New Roman" w:eastAsia="Times New Roman" w:hAnsi="Times New Roman" w:cs="Times New Roman"/>
          <w:i/>
          <w:iCs/>
          <w:sz w:val="24"/>
          <w:szCs w:val="24"/>
        </w:rPr>
        <w:t>Journal of Consumer Psychology</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31</w:t>
      </w:r>
      <w:r>
        <w:rPr>
          <w:rFonts w:ascii="Times New Roman" w:eastAsia="Times New Roman" w:hAnsi="Times New Roman" w:cs="Times New Roman"/>
          <w:sz w:val="24"/>
          <w:szCs w:val="24"/>
        </w:rPr>
        <w:t>(3), 551-569.</w:t>
      </w:r>
    </w:p>
    <w:p w14:paraId="05B20E4C"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Cologna, V., Berthold, A., &amp; Siegrist, M. (2022). Knowledge, perceived potential and trust as determinants of low and high-impact pro-environmental </w:t>
      </w:r>
      <w:proofErr w:type="spellStart"/>
      <w:r>
        <w:rPr>
          <w:rFonts w:ascii="Times New Roman" w:eastAsia="Times New Roman" w:hAnsi="Times New Roman" w:cs="Times New Roman"/>
          <w:sz w:val="24"/>
          <w:szCs w:val="24"/>
        </w:rPr>
        <w:t>behaviours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Journal of Experimental Psychology, 79</w:t>
      </w:r>
      <w:r>
        <w:rPr>
          <w:rFonts w:ascii="Times New Roman" w:eastAsia="Times New Roman" w:hAnsi="Times New Roman" w:cs="Times New Roman"/>
          <w:sz w:val="24"/>
          <w:szCs w:val="24"/>
        </w:rPr>
        <w:t>, 101741.</w:t>
      </w:r>
    </w:p>
    <w:p w14:paraId="05B20E4D"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Connelly, B. L., Ketchen, D. J., &amp; Slater, S. F. (2011). Toward a “theoretical toolbox” for sustainability research in marketing. </w:t>
      </w:r>
      <w:r>
        <w:rPr>
          <w:rFonts w:ascii="Times New Roman" w:eastAsia="Times New Roman" w:hAnsi="Times New Roman" w:cs="Times New Roman"/>
          <w:i/>
          <w:iCs/>
          <w:sz w:val="24"/>
          <w:szCs w:val="24"/>
        </w:rPr>
        <w:t>Journal of the Academy of Marketing Science</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39</w:t>
      </w:r>
      <w:r>
        <w:rPr>
          <w:rFonts w:ascii="Times New Roman" w:eastAsia="Times New Roman" w:hAnsi="Times New Roman" w:cs="Times New Roman"/>
          <w:sz w:val="24"/>
          <w:szCs w:val="24"/>
        </w:rPr>
        <w:t xml:space="preserve">, 86-100. </w:t>
      </w:r>
    </w:p>
    <w:p w14:paraId="05B20E4E"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Cutright, K. M., &amp; Samper, A. (2014). Doing it the hard way: How low control drives preferences for high-effort products and services. </w:t>
      </w:r>
      <w:r>
        <w:rPr>
          <w:rFonts w:ascii="Times New Roman" w:eastAsia="Times New Roman" w:hAnsi="Times New Roman" w:cs="Times New Roman"/>
          <w:i/>
          <w:iCs/>
          <w:sz w:val="24"/>
          <w:szCs w:val="24"/>
        </w:rPr>
        <w:t>Journal of Consumer Research</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41</w:t>
      </w:r>
      <w:r>
        <w:rPr>
          <w:rFonts w:ascii="Times New Roman" w:eastAsia="Times New Roman" w:hAnsi="Times New Roman" w:cs="Times New Roman"/>
          <w:sz w:val="24"/>
          <w:szCs w:val="24"/>
        </w:rPr>
        <w:t xml:space="preserve">(3), 730-745. </w:t>
      </w:r>
    </w:p>
    <w:p w14:paraId="05B20E4F"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Davvetas, V., Ulqinaku, A., &amp; </w:t>
      </w:r>
      <w:proofErr w:type="spellStart"/>
      <w:r>
        <w:rPr>
          <w:rFonts w:ascii="Times New Roman" w:eastAsia="Times New Roman" w:hAnsi="Times New Roman" w:cs="Times New Roman"/>
          <w:sz w:val="24"/>
          <w:szCs w:val="24"/>
        </w:rPr>
        <w:t>Katsikeas</w:t>
      </w:r>
      <w:proofErr w:type="spellEnd"/>
      <w:r>
        <w:rPr>
          <w:rFonts w:ascii="Times New Roman" w:eastAsia="Times New Roman" w:hAnsi="Times New Roman" w:cs="Times New Roman"/>
          <w:sz w:val="24"/>
          <w:szCs w:val="24"/>
        </w:rPr>
        <w:t xml:space="preserve">, C. S. (2024). Brand transgressions: How, when, and why home country bias backfires. </w:t>
      </w:r>
      <w:r>
        <w:rPr>
          <w:rFonts w:ascii="Times New Roman" w:eastAsia="Times New Roman" w:hAnsi="Times New Roman" w:cs="Times New Roman"/>
          <w:i/>
          <w:iCs/>
          <w:sz w:val="24"/>
          <w:szCs w:val="24"/>
        </w:rPr>
        <w:t>Journal of the Academy of Marketing Science</w:t>
      </w:r>
      <w:r>
        <w:rPr>
          <w:rFonts w:ascii="Times New Roman" w:eastAsia="Times New Roman" w:hAnsi="Times New Roman" w:cs="Times New Roman"/>
          <w:sz w:val="24"/>
          <w:szCs w:val="24"/>
        </w:rPr>
        <w:t>, 52(4), 976-997.</w:t>
      </w:r>
    </w:p>
    <w:p w14:paraId="05B20E50" w14:textId="77777777" w:rsidR="00932051" w:rsidRDefault="00525931">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DeScioli</w:t>
      </w:r>
      <w:proofErr w:type="spellEnd"/>
      <w:r>
        <w:rPr>
          <w:rFonts w:ascii="Times New Roman" w:eastAsia="Times New Roman" w:hAnsi="Times New Roman" w:cs="Times New Roman"/>
          <w:sz w:val="24"/>
          <w:szCs w:val="24"/>
        </w:rPr>
        <w:t xml:space="preserve">, P., Christner, J., &amp; Kurzban, R. (2011). The omission strategy. </w:t>
      </w:r>
      <w:r>
        <w:rPr>
          <w:rFonts w:ascii="Times New Roman" w:eastAsia="Times New Roman" w:hAnsi="Times New Roman" w:cs="Times New Roman"/>
          <w:i/>
          <w:iCs/>
          <w:sz w:val="24"/>
          <w:szCs w:val="24"/>
        </w:rPr>
        <w:t>Psychological Science, 22</w:t>
      </w:r>
      <w:r>
        <w:rPr>
          <w:rFonts w:ascii="Times New Roman" w:eastAsia="Times New Roman" w:hAnsi="Times New Roman" w:cs="Times New Roman"/>
          <w:sz w:val="24"/>
          <w:szCs w:val="24"/>
        </w:rPr>
        <w:t>, 442–446.</w:t>
      </w:r>
    </w:p>
    <w:p w14:paraId="05B20E51"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Ruyter, K., Keeling, D. I., </w:t>
      </w:r>
      <w:proofErr w:type="spellStart"/>
      <w:r>
        <w:rPr>
          <w:rFonts w:ascii="Times New Roman" w:eastAsia="Times New Roman" w:hAnsi="Times New Roman" w:cs="Times New Roman"/>
          <w:sz w:val="24"/>
          <w:szCs w:val="24"/>
        </w:rPr>
        <w:t>Plangger</w:t>
      </w:r>
      <w:proofErr w:type="spellEnd"/>
      <w:r>
        <w:rPr>
          <w:rFonts w:ascii="Times New Roman" w:eastAsia="Times New Roman" w:hAnsi="Times New Roman" w:cs="Times New Roman"/>
          <w:sz w:val="24"/>
          <w:szCs w:val="24"/>
        </w:rPr>
        <w:t xml:space="preserve">, K., Montecchi, M., Scott, M. L., &amp; Dahl, D. W. (2022). Reimagining marketing strategy: driving the debate on grand challenges. </w:t>
      </w:r>
      <w:r>
        <w:rPr>
          <w:rFonts w:ascii="Times New Roman" w:eastAsia="Times New Roman" w:hAnsi="Times New Roman" w:cs="Times New Roman"/>
          <w:i/>
          <w:iCs/>
          <w:sz w:val="24"/>
          <w:szCs w:val="24"/>
        </w:rPr>
        <w:t>Journal of the Academy of Marketing Science</w:t>
      </w:r>
      <w:r>
        <w:rPr>
          <w:rFonts w:ascii="Times New Roman" w:eastAsia="Times New Roman" w:hAnsi="Times New Roman" w:cs="Times New Roman"/>
          <w:sz w:val="24"/>
          <w:szCs w:val="24"/>
        </w:rPr>
        <w:t>, 50(1), 13-21.</w:t>
      </w:r>
    </w:p>
    <w:p w14:paraId="05B20E52"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Edinger‐Schons, L. M., Sipilä, J., Sen, S., Mende, G., &amp; </w:t>
      </w:r>
      <w:proofErr w:type="spellStart"/>
      <w:r>
        <w:rPr>
          <w:rFonts w:ascii="Times New Roman" w:eastAsia="Times New Roman" w:hAnsi="Times New Roman" w:cs="Times New Roman"/>
          <w:sz w:val="24"/>
          <w:szCs w:val="24"/>
        </w:rPr>
        <w:t>Wieseke</w:t>
      </w:r>
      <w:proofErr w:type="spellEnd"/>
      <w:r>
        <w:rPr>
          <w:rFonts w:ascii="Times New Roman" w:eastAsia="Times New Roman" w:hAnsi="Times New Roman" w:cs="Times New Roman"/>
          <w:sz w:val="24"/>
          <w:szCs w:val="24"/>
        </w:rPr>
        <w:t xml:space="preserve">, J. (2018). Are two reasons better than one? The role of appeal type in consumer responses to sustainable products. </w:t>
      </w:r>
      <w:r>
        <w:rPr>
          <w:rFonts w:ascii="Times New Roman" w:eastAsia="Times New Roman" w:hAnsi="Times New Roman" w:cs="Times New Roman"/>
          <w:i/>
          <w:iCs/>
          <w:sz w:val="24"/>
          <w:szCs w:val="24"/>
        </w:rPr>
        <w:t>Journal of Consumer Psychology</w:t>
      </w:r>
      <w:r>
        <w:rPr>
          <w:rFonts w:ascii="Times New Roman" w:eastAsia="Times New Roman" w:hAnsi="Times New Roman" w:cs="Times New Roman"/>
          <w:sz w:val="24"/>
          <w:szCs w:val="24"/>
        </w:rPr>
        <w:t>, 28(4), 644-664.</w:t>
      </w:r>
    </w:p>
    <w:p w14:paraId="05B20E53"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Elmor, L., Ramos, G. A., Vieites, Y., Andretti, B., &amp; Andrade, E. B. (2024). Environmental sustainability considerations (or lack thereof) in consumer decision making. </w:t>
      </w:r>
      <w:r>
        <w:rPr>
          <w:rFonts w:ascii="Times New Roman" w:eastAsia="Times New Roman" w:hAnsi="Times New Roman" w:cs="Times New Roman"/>
          <w:i/>
          <w:iCs/>
          <w:sz w:val="24"/>
          <w:szCs w:val="24"/>
        </w:rPr>
        <w:t>International Journal of Research in Marketing</w:t>
      </w:r>
      <w:r>
        <w:rPr>
          <w:rFonts w:ascii="Times New Roman" w:eastAsia="Times New Roman" w:hAnsi="Times New Roman" w:cs="Times New Roman"/>
          <w:sz w:val="24"/>
          <w:szCs w:val="24"/>
        </w:rPr>
        <w:t>.</w:t>
      </w:r>
    </w:p>
    <w:p w14:paraId="05B20E54"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European Commission. (2025). EU Ecolabel. Retrieved September 20, 2025, from </w:t>
      </w:r>
      <w:hyperlink r:id="rId19">
        <w:r>
          <w:rPr>
            <w:rFonts w:ascii="Times New Roman" w:eastAsia="Times New Roman" w:hAnsi="Times New Roman" w:cs="Times New Roman"/>
            <w:color w:val="0563C1"/>
            <w:sz w:val="24"/>
            <w:szCs w:val="24"/>
            <w:u w:val="single"/>
          </w:rPr>
          <w:t>https://environment.ec.europa.eu/topics/circular-economy/eu-ecolabel_en</w:t>
        </w:r>
      </w:hyperlink>
    </w:p>
    <w:p w14:paraId="05B20E55"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Fella, S., &amp; </w:t>
      </w:r>
      <w:proofErr w:type="spellStart"/>
      <w:r>
        <w:rPr>
          <w:rFonts w:ascii="Times New Roman" w:eastAsia="Times New Roman" w:hAnsi="Times New Roman" w:cs="Times New Roman"/>
          <w:sz w:val="24"/>
          <w:szCs w:val="24"/>
        </w:rPr>
        <w:t>Bausa</w:t>
      </w:r>
      <w:proofErr w:type="spellEnd"/>
      <w:r>
        <w:rPr>
          <w:rFonts w:ascii="Times New Roman" w:eastAsia="Times New Roman" w:hAnsi="Times New Roman" w:cs="Times New Roman"/>
          <w:sz w:val="24"/>
          <w:szCs w:val="24"/>
        </w:rPr>
        <w:t>, E. (2024). Green or greenwashed? Examining consumers' ability to identify greenwashing. </w:t>
      </w:r>
      <w:r>
        <w:rPr>
          <w:rFonts w:ascii="Times New Roman" w:eastAsia="Times New Roman" w:hAnsi="Times New Roman" w:cs="Times New Roman"/>
          <w:i/>
          <w:iCs/>
          <w:sz w:val="24"/>
          <w:szCs w:val="24"/>
        </w:rPr>
        <w:t>Journal of Environmental Psychology</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95</w:t>
      </w:r>
      <w:r>
        <w:rPr>
          <w:rFonts w:ascii="Times New Roman" w:eastAsia="Times New Roman" w:hAnsi="Times New Roman" w:cs="Times New Roman"/>
          <w:sz w:val="24"/>
          <w:szCs w:val="24"/>
        </w:rPr>
        <w:t xml:space="preserve">, 102281. </w:t>
      </w:r>
    </w:p>
    <w:p w14:paraId="05B20E56"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Gershoff, A. D., &amp; Frels, J. K. (2015). What makes it green? The role of centrality of green attributes in evaluations of the greenness of products. </w:t>
      </w:r>
      <w:r>
        <w:rPr>
          <w:rFonts w:ascii="Times New Roman" w:eastAsia="Times New Roman" w:hAnsi="Times New Roman" w:cs="Times New Roman"/>
          <w:i/>
          <w:iCs/>
          <w:sz w:val="24"/>
          <w:szCs w:val="24"/>
        </w:rPr>
        <w:t>Journal of Marketing</w:t>
      </w:r>
      <w:r>
        <w:rPr>
          <w:rFonts w:ascii="Times New Roman" w:eastAsia="Times New Roman" w:hAnsi="Times New Roman" w:cs="Times New Roman"/>
          <w:sz w:val="24"/>
          <w:szCs w:val="24"/>
        </w:rPr>
        <w:t xml:space="preserve">, 79(1), 97-110. </w:t>
      </w:r>
    </w:p>
    <w:p w14:paraId="05B20E57"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Gigerenzer, G., &amp; </w:t>
      </w:r>
      <w:proofErr w:type="spellStart"/>
      <w:r>
        <w:rPr>
          <w:rFonts w:ascii="Times New Roman" w:eastAsia="Times New Roman" w:hAnsi="Times New Roman" w:cs="Times New Roman"/>
          <w:sz w:val="24"/>
          <w:szCs w:val="24"/>
        </w:rPr>
        <w:t>Gaissmaier</w:t>
      </w:r>
      <w:proofErr w:type="spellEnd"/>
      <w:r>
        <w:rPr>
          <w:rFonts w:ascii="Times New Roman" w:eastAsia="Times New Roman" w:hAnsi="Times New Roman" w:cs="Times New Roman"/>
          <w:sz w:val="24"/>
          <w:szCs w:val="24"/>
        </w:rPr>
        <w:t xml:space="preserve">, W. (2011). Heuristic decision making. </w:t>
      </w:r>
      <w:r>
        <w:rPr>
          <w:rFonts w:ascii="Times New Roman" w:eastAsia="Times New Roman" w:hAnsi="Times New Roman" w:cs="Times New Roman"/>
          <w:i/>
          <w:iCs/>
          <w:sz w:val="24"/>
          <w:szCs w:val="24"/>
        </w:rPr>
        <w:t>Annual Review of Psychology</w:t>
      </w:r>
      <w:r>
        <w:rPr>
          <w:rFonts w:ascii="Times New Roman" w:eastAsia="Times New Roman" w:hAnsi="Times New Roman" w:cs="Times New Roman"/>
          <w:sz w:val="24"/>
          <w:szCs w:val="24"/>
        </w:rPr>
        <w:t xml:space="preserve">, 62, 451-482. </w:t>
      </w:r>
    </w:p>
    <w:p w14:paraId="05B20E58"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Global Footprint Network. (2025). </w:t>
      </w:r>
      <w:r>
        <w:rPr>
          <w:rFonts w:ascii="Times New Roman" w:eastAsia="Times New Roman" w:hAnsi="Times New Roman" w:cs="Times New Roman"/>
          <w:i/>
          <w:iCs/>
          <w:sz w:val="24"/>
          <w:szCs w:val="24"/>
        </w:rPr>
        <w:t>Earth Overshoot Day</w:t>
      </w:r>
      <w:r>
        <w:rPr>
          <w:rFonts w:ascii="Times New Roman" w:eastAsia="Times New Roman" w:hAnsi="Times New Roman" w:cs="Times New Roman"/>
          <w:sz w:val="24"/>
          <w:szCs w:val="24"/>
        </w:rPr>
        <w:t xml:space="preserve">. Retrieved October 10, 2025, from </w:t>
      </w:r>
      <w:hyperlink r:id="rId20">
        <w:r>
          <w:rPr>
            <w:rFonts w:ascii="Times New Roman" w:eastAsia="Times New Roman" w:hAnsi="Times New Roman" w:cs="Times New Roman"/>
            <w:color w:val="0563C1"/>
            <w:sz w:val="24"/>
            <w:szCs w:val="24"/>
            <w:u w:val="single"/>
          </w:rPr>
          <w:t>https://overshoot.footprintnetwork.org/</w:t>
        </w:r>
      </w:hyperlink>
    </w:p>
    <w:p w14:paraId="05B20E59" w14:textId="77777777" w:rsidR="00932051" w:rsidRDefault="00525931">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Gosselt</w:t>
      </w:r>
      <w:proofErr w:type="spellEnd"/>
      <w:r>
        <w:rPr>
          <w:rFonts w:ascii="Times New Roman" w:eastAsia="Times New Roman" w:hAnsi="Times New Roman" w:cs="Times New Roman"/>
          <w:sz w:val="24"/>
          <w:szCs w:val="24"/>
        </w:rPr>
        <w:t xml:space="preserve">, J. F., van Rompay, T., &amp; Haske, L. (2019). Won’t get fooled again: The effects of internal and external CSR ECO-labeling. </w:t>
      </w:r>
      <w:r>
        <w:rPr>
          <w:rFonts w:ascii="Times New Roman" w:eastAsia="Times New Roman" w:hAnsi="Times New Roman" w:cs="Times New Roman"/>
          <w:i/>
          <w:iCs/>
          <w:sz w:val="24"/>
          <w:szCs w:val="24"/>
        </w:rPr>
        <w:t>Journal of Business Ethics</w:t>
      </w:r>
      <w:r>
        <w:rPr>
          <w:rFonts w:ascii="Times New Roman" w:eastAsia="Times New Roman" w:hAnsi="Times New Roman" w:cs="Times New Roman"/>
          <w:sz w:val="24"/>
          <w:szCs w:val="24"/>
        </w:rPr>
        <w:t>, 155, 413-424.</w:t>
      </w:r>
    </w:p>
    <w:p w14:paraId="05B20E5A"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Grewal, D., </w:t>
      </w:r>
      <w:proofErr w:type="spellStart"/>
      <w:r>
        <w:rPr>
          <w:rFonts w:ascii="Times New Roman" w:eastAsia="Times New Roman" w:hAnsi="Times New Roman" w:cs="Times New Roman"/>
          <w:sz w:val="24"/>
          <w:szCs w:val="24"/>
        </w:rPr>
        <w:t>Kopalle</w:t>
      </w:r>
      <w:proofErr w:type="spellEnd"/>
      <w:r>
        <w:rPr>
          <w:rFonts w:ascii="Times New Roman" w:eastAsia="Times New Roman" w:hAnsi="Times New Roman" w:cs="Times New Roman"/>
          <w:sz w:val="24"/>
          <w:szCs w:val="24"/>
        </w:rPr>
        <w:t xml:space="preserve">, P. K., &amp; Hulland, J. (2024). Addressing the greatest global challenges (UN SDGs) with a marketing lens. </w:t>
      </w:r>
      <w:r>
        <w:rPr>
          <w:rFonts w:ascii="Times New Roman" w:eastAsia="Times New Roman" w:hAnsi="Times New Roman" w:cs="Times New Roman"/>
          <w:i/>
          <w:iCs/>
          <w:sz w:val="24"/>
          <w:szCs w:val="24"/>
        </w:rPr>
        <w:t>Journal of the Academy of Marketing Science</w:t>
      </w:r>
      <w:r>
        <w:rPr>
          <w:rFonts w:ascii="Times New Roman" w:eastAsia="Times New Roman" w:hAnsi="Times New Roman" w:cs="Times New Roman"/>
          <w:sz w:val="24"/>
          <w:szCs w:val="24"/>
        </w:rPr>
        <w:t>, 52(5), 1263-1272.</w:t>
      </w:r>
    </w:p>
    <w:p w14:paraId="05B20E5B"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Groza, M. D., Pronschinske, M. R., &amp; Walker, M. (2011). Perceived organizational motives and consumer responses to proactive and reactive CSR. </w:t>
      </w:r>
      <w:r>
        <w:rPr>
          <w:rFonts w:ascii="Times New Roman" w:eastAsia="Times New Roman" w:hAnsi="Times New Roman" w:cs="Times New Roman"/>
          <w:i/>
          <w:iCs/>
          <w:sz w:val="24"/>
          <w:szCs w:val="24"/>
        </w:rPr>
        <w:t>Journal of Business Ethics</w:t>
      </w:r>
      <w:r>
        <w:rPr>
          <w:rFonts w:ascii="Times New Roman" w:eastAsia="Times New Roman" w:hAnsi="Times New Roman" w:cs="Times New Roman"/>
          <w:sz w:val="24"/>
          <w:szCs w:val="24"/>
        </w:rPr>
        <w:t>, 102, 639-652.</w:t>
      </w:r>
    </w:p>
    <w:p w14:paraId="05B20E5C"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Gruber, V., Schlegelmilch, B. B., &amp; Houston, M. J. (2014). Inferential evaluations of sustainability attributes: Exploring how consumers imply product information. </w:t>
      </w:r>
      <w:r>
        <w:rPr>
          <w:rFonts w:ascii="Times New Roman" w:eastAsia="Times New Roman" w:hAnsi="Times New Roman" w:cs="Times New Roman"/>
          <w:i/>
          <w:iCs/>
          <w:sz w:val="24"/>
          <w:szCs w:val="24"/>
        </w:rPr>
        <w:t>Psychology &amp; Marketing</w:t>
      </w:r>
      <w:r>
        <w:rPr>
          <w:rFonts w:ascii="Times New Roman" w:eastAsia="Times New Roman" w:hAnsi="Times New Roman" w:cs="Times New Roman"/>
          <w:sz w:val="24"/>
          <w:szCs w:val="24"/>
        </w:rPr>
        <w:t>, 31(6), 440-450.</w:t>
      </w:r>
    </w:p>
    <w:p w14:paraId="05B20E5D"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Hallez, L., </w:t>
      </w:r>
      <w:proofErr w:type="spellStart"/>
      <w:r>
        <w:rPr>
          <w:rFonts w:ascii="Times New Roman" w:eastAsia="Times New Roman" w:hAnsi="Times New Roman" w:cs="Times New Roman"/>
          <w:sz w:val="24"/>
          <w:szCs w:val="24"/>
        </w:rPr>
        <w:t>Vansteenbeeck</w:t>
      </w:r>
      <w:proofErr w:type="spellEnd"/>
      <w:r>
        <w:rPr>
          <w:rFonts w:ascii="Times New Roman" w:eastAsia="Times New Roman" w:hAnsi="Times New Roman" w:cs="Times New Roman"/>
          <w:sz w:val="24"/>
          <w:szCs w:val="24"/>
        </w:rPr>
        <w:t xml:space="preserve">, H., Boen, F., &amp; Smits, T. (2023). Persuasive packaging? The impact of packaging color and claims on young consumers’ perceptions of product healthiness, sustainability and tastiness. </w:t>
      </w:r>
      <w:r>
        <w:rPr>
          <w:rFonts w:ascii="Times New Roman" w:eastAsia="Times New Roman" w:hAnsi="Times New Roman" w:cs="Times New Roman"/>
          <w:i/>
          <w:iCs/>
          <w:sz w:val="24"/>
          <w:szCs w:val="24"/>
        </w:rPr>
        <w:t>Appetite</w:t>
      </w:r>
      <w:r>
        <w:rPr>
          <w:rFonts w:ascii="Times New Roman" w:eastAsia="Times New Roman" w:hAnsi="Times New Roman" w:cs="Times New Roman"/>
          <w:sz w:val="24"/>
          <w:szCs w:val="24"/>
        </w:rPr>
        <w:t>, 182, 106433.</w:t>
      </w:r>
    </w:p>
    <w:p w14:paraId="05B20E5E"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Hayes, A. F. (2022). </w:t>
      </w:r>
      <w:r>
        <w:rPr>
          <w:rFonts w:ascii="Times New Roman" w:eastAsia="Times New Roman" w:hAnsi="Times New Roman" w:cs="Times New Roman"/>
          <w:i/>
          <w:iCs/>
          <w:sz w:val="24"/>
          <w:szCs w:val="24"/>
        </w:rPr>
        <w:t>Introduction to Mediation, Moderation, and Conditional Process Analysis: A Regression-based Approach</w:t>
      </w:r>
      <w:r>
        <w:rPr>
          <w:rFonts w:ascii="Times New Roman" w:eastAsia="Times New Roman" w:hAnsi="Times New Roman" w:cs="Times New Roman"/>
          <w:sz w:val="24"/>
          <w:szCs w:val="24"/>
        </w:rPr>
        <w:t xml:space="preserve"> (3rd ed.). Guilford Press.</w:t>
      </w:r>
    </w:p>
    <w:p w14:paraId="05B20E5F"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Hearst, E. (1984). Absence as information: Some implications for learning, performance, and representational process. In H. </w:t>
      </w:r>
      <w:proofErr w:type="spellStart"/>
      <w:r>
        <w:rPr>
          <w:rFonts w:ascii="Times New Roman" w:eastAsia="Times New Roman" w:hAnsi="Times New Roman" w:cs="Times New Roman"/>
          <w:sz w:val="24"/>
          <w:szCs w:val="24"/>
        </w:rPr>
        <w:t>Roitblat</w:t>
      </w:r>
      <w:proofErr w:type="spellEnd"/>
      <w:r>
        <w:rPr>
          <w:rFonts w:ascii="Times New Roman" w:eastAsia="Times New Roman" w:hAnsi="Times New Roman" w:cs="Times New Roman"/>
          <w:sz w:val="24"/>
          <w:szCs w:val="24"/>
        </w:rPr>
        <w:t xml:space="preserve">, T. Bever, &amp; H. Terrace (Eds.), </w:t>
      </w:r>
      <w:r>
        <w:rPr>
          <w:rFonts w:ascii="Times New Roman" w:eastAsia="Times New Roman" w:hAnsi="Times New Roman" w:cs="Times New Roman"/>
          <w:i/>
          <w:iCs/>
          <w:sz w:val="24"/>
          <w:szCs w:val="24"/>
        </w:rPr>
        <w:t>Animal cognition</w:t>
      </w:r>
      <w:r>
        <w:rPr>
          <w:rFonts w:ascii="Times New Roman" w:eastAsia="Times New Roman" w:hAnsi="Times New Roman" w:cs="Times New Roman"/>
          <w:sz w:val="24"/>
          <w:szCs w:val="24"/>
        </w:rPr>
        <w:t xml:space="preserve"> (pp. 311–332). Lawrence Erlbaum.</w:t>
      </w:r>
    </w:p>
    <w:p w14:paraId="05B20E60" w14:textId="77777777" w:rsidR="00932051" w:rsidRDefault="00525931">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Hoorens</w:t>
      </w:r>
      <w:proofErr w:type="spellEnd"/>
      <w:r>
        <w:rPr>
          <w:rFonts w:ascii="Times New Roman" w:eastAsia="Times New Roman" w:hAnsi="Times New Roman" w:cs="Times New Roman"/>
          <w:sz w:val="24"/>
          <w:szCs w:val="24"/>
        </w:rPr>
        <w:t xml:space="preserve">, V., &amp; Bruckmüller, S. (2015). Less is more? Think again! A cognitive fluency-based more-less asymmetry in comparative communication. </w:t>
      </w:r>
      <w:r>
        <w:rPr>
          <w:rFonts w:ascii="Times New Roman" w:eastAsia="Times New Roman" w:hAnsi="Times New Roman" w:cs="Times New Roman"/>
          <w:i/>
          <w:iCs/>
          <w:sz w:val="24"/>
          <w:szCs w:val="24"/>
        </w:rPr>
        <w:t>Journal of Personality and Social Psychology</w:t>
      </w:r>
      <w:r>
        <w:rPr>
          <w:rFonts w:ascii="Times New Roman" w:eastAsia="Times New Roman" w:hAnsi="Times New Roman" w:cs="Times New Roman"/>
          <w:sz w:val="24"/>
          <w:szCs w:val="24"/>
        </w:rPr>
        <w:t>, 109(5), 753–766.</w:t>
      </w:r>
    </w:p>
    <w:p w14:paraId="05B20E61" w14:textId="77777777" w:rsidR="00932051" w:rsidRDefault="00525931">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Huijsmans</w:t>
      </w:r>
      <w:proofErr w:type="spellEnd"/>
      <w:r>
        <w:rPr>
          <w:rFonts w:ascii="Times New Roman" w:eastAsia="Times New Roman" w:hAnsi="Times New Roman" w:cs="Times New Roman"/>
          <w:sz w:val="24"/>
          <w:szCs w:val="24"/>
        </w:rPr>
        <w:t xml:space="preserve">, M. K., Rieder, L., </w:t>
      </w:r>
      <w:proofErr w:type="spellStart"/>
      <w:r>
        <w:rPr>
          <w:rFonts w:ascii="Times New Roman" w:eastAsia="Times New Roman" w:hAnsi="Times New Roman" w:cs="Times New Roman"/>
          <w:sz w:val="24"/>
          <w:szCs w:val="24"/>
        </w:rPr>
        <w:t>Kreuer</w:t>
      </w:r>
      <w:proofErr w:type="spellEnd"/>
      <w:r>
        <w:rPr>
          <w:rFonts w:ascii="Times New Roman" w:eastAsia="Times New Roman" w:hAnsi="Times New Roman" w:cs="Times New Roman"/>
          <w:sz w:val="24"/>
          <w:szCs w:val="24"/>
        </w:rPr>
        <w:t xml:space="preserve">, K., &amp; Müller, B. C. (2025). Less is more-The effect of VR-induced awe on minimalism and sustainable consumption. </w:t>
      </w:r>
      <w:r>
        <w:rPr>
          <w:rFonts w:ascii="Times New Roman" w:eastAsia="Times New Roman" w:hAnsi="Times New Roman" w:cs="Times New Roman"/>
          <w:i/>
          <w:iCs/>
          <w:sz w:val="24"/>
          <w:szCs w:val="24"/>
        </w:rPr>
        <w:t>Journal of Environmental Psychology</w:t>
      </w:r>
      <w:r>
        <w:rPr>
          <w:rFonts w:ascii="Times New Roman" w:eastAsia="Times New Roman" w:hAnsi="Times New Roman" w:cs="Times New Roman"/>
          <w:sz w:val="24"/>
          <w:szCs w:val="24"/>
        </w:rPr>
        <w:t xml:space="preserve">, 102685. </w:t>
      </w:r>
    </w:p>
    <w:p w14:paraId="05B20E62"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IEA. (2025). </w:t>
      </w:r>
      <w:r>
        <w:rPr>
          <w:rFonts w:ascii="Times New Roman" w:eastAsia="Times New Roman" w:hAnsi="Times New Roman" w:cs="Times New Roman"/>
          <w:i/>
          <w:iCs/>
          <w:sz w:val="24"/>
          <w:szCs w:val="24"/>
        </w:rPr>
        <w:t>Global Energy Review 2025: CO₂ emissions</w:t>
      </w:r>
      <w:r>
        <w:rPr>
          <w:rFonts w:ascii="Times New Roman" w:eastAsia="Times New Roman" w:hAnsi="Times New Roman" w:cs="Times New Roman"/>
          <w:sz w:val="24"/>
          <w:szCs w:val="24"/>
        </w:rPr>
        <w:t xml:space="preserve">. Retrieved October 10, 2025, from </w:t>
      </w:r>
      <w:hyperlink r:id="rId21">
        <w:r>
          <w:rPr>
            <w:rFonts w:ascii="Times New Roman" w:eastAsia="Times New Roman" w:hAnsi="Times New Roman" w:cs="Times New Roman"/>
            <w:color w:val="0563C1"/>
            <w:sz w:val="24"/>
            <w:szCs w:val="24"/>
            <w:u w:val="single"/>
          </w:rPr>
          <w:t>https://www.iea.org/reports/global-energy-review-2025/co2-emissions</w:t>
        </w:r>
      </w:hyperlink>
    </w:p>
    <w:p w14:paraId="05B20E63" w14:textId="77777777" w:rsidR="00932051" w:rsidRDefault="00525931">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Ischen</w:t>
      </w:r>
      <w:proofErr w:type="spellEnd"/>
      <w:r>
        <w:rPr>
          <w:rFonts w:ascii="Times New Roman" w:eastAsia="Times New Roman" w:hAnsi="Times New Roman" w:cs="Times New Roman"/>
          <w:sz w:val="24"/>
          <w:szCs w:val="24"/>
        </w:rPr>
        <w:t xml:space="preserve">, C., Meijers, M. H., </w:t>
      </w:r>
      <w:proofErr w:type="spellStart"/>
      <w:r>
        <w:rPr>
          <w:rFonts w:ascii="Times New Roman" w:eastAsia="Times New Roman" w:hAnsi="Times New Roman" w:cs="Times New Roman"/>
          <w:sz w:val="24"/>
          <w:szCs w:val="24"/>
        </w:rPr>
        <w:t>Vandeberg</w:t>
      </w:r>
      <w:proofErr w:type="spellEnd"/>
      <w:r>
        <w:rPr>
          <w:rFonts w:ascii="Times New Roman" w:eastAsia="Times New Roman" w:hAnsi="Times New Roman" w:cs="Times New Roman"/>
          <w:sz w:val="24"/>
          <w:szCs w:val="24"/>
        </w:rPr>
        <w:t>, L., &amp; Smit, E. G. (2022). Seen as green? Assessing the salience and greenness of environmentally friendly packaging cues.</w:t>
      </w:r>
      <w:r>
        <w:rPr>
          <w:rFonts w:ascii="Times New Roman" w:eastAsia="Times New Roman" w:hAnsi="Times New Roman" w:cs="Times New Roman"/>
          <w:i/>
          <w:iCs/>
          <w:sz w:val="24"/>
          <w:szCs w:val="24"/>
        </w:rPr>
        <w:t xml:space="preserve"> Journal of Food Products Marketing</w:t>
      </w:r>
      <w:r>
        <w:rPr>
          <w:rFonts w:ascii="Times New Roman" w:eastAsia="Times New Roman" w:hAnsi="Times New Roman" w:cs="Times New Roman"/>
          <w:sz w:val="24"/>
          <w:szCs w:val="24"/>
        </w:rPr>
        <w:t>, 28(1), 31-48.</w:t>
      </w:r>
    </w:p>
    <w:p w14:paraId="05B20E64"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Jenkins, H. S., &amp; Sainsbury, R. S. (1969). The development of stimulus control through differential reinforcement. In N. Mackintosh &amp; W. Honig (Eds.), </w:t>
      </w:r>
      <w:r>
        <w:rPr>
          <w:rFonts w:ascii="Times New Roman" w:eastAsia="Times New Roman" w:hAnsi="Times New Roman" w:cs="Times New Roman"/>
          <w:i/>
          <w:iCs/>
          <w:sz w:val="24"/>
          <w:szCs w:val="24"/>
        </w:rPr>
        <w:t>Fundamental issues in associative learning</w:t>
      </w:r>
      <w:r>
        <w:rPr>
          <w:rFonts w:ascii="Times New Roman" w:eastAsia="Times New Roman" w:hAnsi="Times New Roman" w:cs="Times New Roman"/>
          <w:sz w:val="24"/>
          <w:szCs w:val="24"/>
        </w:rPr>
        <w:t xml:space="preserve"> (pp. 123–161). </w:t>
      </w:r>
      <w:proofErr w:type="spellStart"/>
      <w:r>
        <w:rPr>
          <w:rFonts w:ascii="Times New Roman" w:eastAsia="Times New Roman" w:hAnsi="Times New Roman" w:cs="Times New Roman"/>
          <w:sz w:val="24"/>
          <w:szCs w:val="24"/>
        </w:rPr>
        <w:t>Dahousie</w:t>
      </w:r>
      <w:proofErr w:type="spellEnd"/>
      <w:r>
        <w:rPr>
          <w:rFonts w:ascii="Times New Roman" w:eastAsia="Times New Roman" w:hAnsi="Times New Roman" w:cs="Times New Roman"/>
          <w:sz w:val="24"/>
          <w:szCs w:val="24"/>
        </w:rPr>
        <w:t xml:space="preserve"> University Press.</w:t>
      </w:r>
    </w:p>
    <w:p w14:paraId="05B20E65" w14:textId="77777777" w:rsidR="00932051" w:rsidRDefault="00525931">
      <w:pPr>
        <w:spacing w:line="240" w:lineRule="auto"/>
        <w:jc w:val="both"/>
      </w:pPr>
      <w:r>
        <w:rPr>
          <w:rFonts w:ascii="Times New Roman" w:eastAsia="Times New Roman" w:hAnsi="Times New Roman" w:cs="Times New Roman"/>
          <w:sz w:val="24"/>
          <w:szCs w:val="24"/>
        </w:rPr>
        <w:t xml:space="preserve">Johnson, A. W., &amp; Gallagher, M. (2010). Greater effort boosts the affective taste properties of food. </w:t>
      </w:r>
      <w:r>
        <w:rPr>
          <w:rFonts w:ascii="Times New Roman" w:eastAsia="Times New Roman" w:hAnsi="Times New Roman" w:cs="Times New Roman"/>
          <w:i/>
          <w:iCs/>
          <w:sz w:val="24"/>
          <w:szCs w:val="24"/>
        </w:rPr>
        <w:t>Proceedings of the Royal Society B, 278</w:t>
      </w:r>
      <w:r>
        <w:rPr>
          <w:rFonts w:ascii="Times New Roman" w:eastAsia="Times New Roman" w:hAnsi="Times New Roman" w:cs="Times New Roman"/>
          <w:sz w:val="24"/>
          <w:szCs w:val="24"/>
        </w:rPr>
        <w:t xml:space="preserve">(1711), </w:t>
      </w:r>
      <w:hyperlink r:id="rId22">
        <w:r>
          <w:rPr>
            <w:rFonts w:ascii="Times New Roman" w:eastAsia="Times New Roman" w:hAnsi="Times New Roman" w:cs="Times New Roman"/>
            <w:color w:val="0563C1"/>
            <w:sz w:val="24"/>
            <w:szCs w:val="24"/>
            <w:u w:val="single"/>
          </w:rPr>
          <w:t>https://doi.org/10.1098/rspb.2010.1581s</w:t>
        </w:r>
      </w:hyperlink>
    </w:p>
    <w:p w14:paraId="05B20E66"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Joshi, P., &amp; </w:t>
      </w:r>
      <w:proofErr w:type="spellStart"/>
      <w:r>
        <w:rPr>
          <w:rFonts w:ascii="Times New Roman" w:eastAsia="Times New Roman" w:hAnsi="Times New Roman" w:cs="Times New Roman"/>
          <w:sz w:val="24"/>
          <w:szCs w:val="24"/>
        </w:rPr>
        <w:t>Kronrod</w:t>
      </w:r>
      <w:proofErr w:type="spellEnd"/>
      <w:r>
        <w:rPr>
          <w:rFonts w:ascii="Times New Roman" w:eastAsia="Times New Roman" w:hAnsi="Times New Roman" w:cs="Times New Roman"/>
          <w:sz w:val="24"/>
          <w:szCs w:val="24"/>
        </w:rPr>
        <w:t>, A. (2020). Sounds of green: How brand name sounds metaphorically convey environmental friendliness. </w:t>
      </w:r>
      <w:r>
        <w:rPr>
          <w:rFonts w:ascii="Times New Roman" w:eastAsia="Times New Roman" w:hAnsi="Times New Roman" w:cs="Times New Roman"/>
          <w:i/>
          <w:iCs/>
          <w:sz w:val="24"/>
          <w:szCs w:val="24"/>
        </w:rPr>
        <w:t>Journal of Advertising</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49</w:t>
      </w:r>
      <w:r>
        <w:rPr>
          <w:rFonts w:ascii="Times New Roman" w:eastAsia="Times New Roman" w:hAnsi="Times New Roman" w:cs="Times New Roman"/>
          <w:sz w:val="24"/>
          <w:szCs w:val="24"/>
        </w:rPr>
        <w:t xml:space="preserve">(1), 61-77. </w:t>
      </w:r>
    </w:p>
    <w:p w14:paraId="05B20E67"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Kahneman, D. (2011). </w:t>
      </w:r>
      <w:r>
        <w:rPr>
          <w:rFonts w:ascii="Times New Roman" w:eastAsia="Times New Roman" w:hAnsi="Times New Roman" w:cs="Times New Roman"/>
          <w:i/>
          <w:iCs/>
          <w:sz w:val="24"/>
          <w:szCs w:val="24"/>
        </w:rPr>
        <w:t>Thinking, fast and slow</w:t>
      </w:r>
      <w:r>
        <w:rPr>
          <w:rFonts w:ascii="Times New Roman" w:eastAsia="Times New Roman" w:hAnsi="Times New Roman" w:cs="Times New Roman"/>
          <w:sz w:val="24"/>
          <w:szCs w:val="24"/>
        </w:rPr>
        <w:t xml:space="preserve">. Farrar, Straus and Giroux. </w:t>
      </w:r>
    </w:p>
    <w:p w14:paraId="05B20E68"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Kahneman, D., &amp; Tversky, A. (1974). Judgment under Uncertainty: Heuristics and Biases. </w:t>
      </w:r>
      <w:r>
        <w:rPr>
          <w:rFonts w:ascii="Times New Roman" w:eastAsia="Times New Roman" w:hAnsi="Times New Roman" w:cs="Times New Roman"/>
          <w:i/>
          <w:iCs/>
          <w:sz w:val="24"/>
          <w:szCs w:val="24"/>
        </w:rPr>
        <w:t>Science</w:t>
      </w:r>
      <w:r>
        <w:rPr>
          <w:rFonts w:ascii="Times New Roman" w:eastAsia="Times New Roman" w:hAnsi="Times New Roman" w:cs="Times New Roman"/>
          <w:sz w:val="24"/>
          <w:szCs w:val="24"/>
        </w:rPr>
        <w:t>, 185(4157), 1124-1131.</w:t>
      </w:r>
    </w:p>
    <w:p w14:paraId="05B20E69" w14:textId="77777777" w:rsidR="00932051" w:rsidRDefault="00525931">
      <w:pPr>
        <w:spacing w:line="240" w:lineRule="auto"/>
        <w:jc w:val="both"/>
      </w:pPr>
      <w:proofErr w:type="spellStart"/>
      <w:r>
        <w:rPr>
          <w:rFonts w:ascii="Times New Roman" w:eastAsia="Times New Roman" w:hAnsi="Times New Roman" w:cs="Times New Roman"/>
          <w:sz w:val="24"/>
          <w:szCs w:val="24"/>
        </w:rPr>
        <w:t>Kardes</w:t>
      </w:r>
      <w:proofErr w:type="spellEnd"/>
      <w:r>
        <w:rPr>
          <w:rFonts w:ascii="Times New Roman" w:eastAsia="Times New Roman" w:hAnsi="Times New Roman" w:cs="Times New Roman"/>
          <w:sz w:val="24"/>
          <w:szCs w:val="24"/>
        </w:rPr>
        <w:t xml:space="preserve">, F. R., Posavac, S. S., &amp; Gaffney, D. R. (2022). Omission neglect and consumer judgment and inference based on limited evidence. In L. </w:t>
      </w:r>
      <w:proofErr w:type="spellStart"/>
      <w:proofErr w:type="gramStart"/>
      <w:r>
        <w:rPr>
          <w:rFonts w:ascii="Times New Roman" w:eastAsia="Times New Roman" w:hAnsi="Times New Roman" w:cs="Times New Roman"/>
          <w:sz w:val="24"/>
          <w:szCs w:val="24"/>
        </w:rPr>
        <w:t>Kahle,T</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Lowrey,&amp;</w:t>
      </w:r>
      <w:proofErr w:type="gramEnd"/>
      <w:r>
        <w:rPr>
          <w:rFonts w:ascii="Times New Roman" w:eastAsia="Times New Roman" w:hAnsi="Times New Roman" w:cs="Times New Roman"/>
          <w:sz w:val="24"/>
          <w:szCs w:val="24"/>
        </w:rPr>
        <w:t>J</w:t>
      </w:r>
      <w:proofErr w:type="spellEnd"/>
      <w:r>
        <w:rPr>
          <w:rFonts w:ascii="Times New Roman" w:eastAsia="Times New Roman" w:hAnsi="Times New Roman" w:cs="Times New Roman"/>
          <w:sz w:val="24"/>
          <w:szCs w:val="24"/>
        </w:rPr>
        <w:t xml:space="preserve">. Huber (Eds.), APA </w:t>
      </w:r>
      <w:r>
        <w:rPr>
          <w:rFonts w:ascii="Times New Roman" w:eastAsia="Times New Roman" w:hAnsi="Times New Roman" w:cs="Times New Roman"/>
          <w:i/>
          <w:iCs/>
          <w:sz w:val="24"/>
          <w:szCs w:val="24"/>
        </w:rPr>
        <w:t>handbook of consumer psychology</w:t>
      </w:r>
      <w:r>
        <w:rPr>
          <w:rFonts w:ascii="Times New Roman" w:eastAsia="Times New Roman" w:hAnsi="Times New Roman" w:cs="Times New Roman"/>
          <w:sz w:val="24"/>
          <w:szCs w:val="24"/>
        </w:rPr>
        <w:t xml:space="preserve"> (pp.529–549). American Psychological Association. </w:t>
      </w:r>
      <w:hyperlink r:id="rId23">
        <w:r>
          <w:rPr>
            <w:color w:val="0563C1"/>
            <w:u w:val="single"/>
          </w:rPr>
          <w:t>https://doi.org/10.1037/0000262-023</w:t>
        </w:r>
      </w:hyperlink>
    </w:p>
    <w:p w14:paraId="05B20E6A"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Klotz, L. (2022). Subtract: The untapped science of less. Flatiron Books. </w:t>
      </w:r>
    </w:p>
    <w:p w14:paraId="05B20E6B"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Koenig-Lewis, N., Palmer, A., Dermody, J., &amp; </w:t>
      </w:r>
      <w:proofErr w:type="spellStart"/>
      <w:r>
        <w:rPr>
          <w:rFonts w:ascii="Times New Roman" w:eastAsia="Times New Roman" w:hAnsi="Times New Roman" w:cs="Times New Roman"/>
          <w:sz w:val="24"/>
          <w:szCs w:val="24"/>
        </w:rPr>
        <w:t>Urbye</w:t>
      </w:r>
      <w:proofErr w:type="spellEnd"/>
      <w:r>
        <w:rPr>
          <w:rFonts w:ascii="Times New Roman" w:eastAsia="Times New Roman" w:hAnsi="Times New Roman" w:cs="Times New Roman"/>
          <w:sz w:val="24"/>
          <w:szCs w:val="24"/>
        </w:rPr>
        <w:t>, A. (2014). Consumers' evaluations of ecological packaging–Rational and emotional approaches. </w:t>
      </w:r>
      <w:r>
        <w:rPr>
          <w:rFonts w:ascii="Times New Roman" w:eastAsia="Times New Roman" w:hAnsi="Times New Roman" w:cs="Times New Roman"/>
          <w:i/>
          <w:iCs/>
          <w:sz w:val="24"/>
          <w:szCs w:val="24"/>
        </w:rPr>
        <w:t>Journal of Environmental Psychology</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37</w:t>
      </w:r>
      <w:r>
        <w:rPr>
          <w:rFonts w:ascii="Times New Roman" w:eastAsia="Times New Roman" w:hAnsi="Times New Roman" w:cs="Times New Roman"/>
          <w:sz w:val="24"/>
          <w:szCs w:val="24"/>
        </w:rPr>
        <w:t xml:space="preserve">, 94-105. </w:t>
      </w:r>
    </w:p>
    <w:p w14:paraId="05B20E6C"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Kruger, J., Wirtz, D., Van Boven, L., Altermatt, T.W. (2004). The effort heuristic. </w:t>
      </w:r>
      <w:r>
        <w:rPr>
          <w:rFonts w:ascii="Times New Roman" w:eastAsia="Times New Roman" w:hAnsi="Times New Roman" w:cs="Times New Roman"/>
          <w:i/>
          <w:iCs/>
          <w:sz w:val="24"/>
          <w:szCs w:val="24"/>
        </w:rPr>
        <w:t>Journal of Experimental Social Psychology, 40</w:t>
      </w:r>
      <w:r>
        <w:rPr>
          <w:rFonts w:ascii="Times New Roman" w:eastAsia="Times New Roman" w:hAnsi="Times New Roman" w:cs="Times New Roman"/>
          <w:sz w:val="24"/>
          <w:szCs w:val="24"/>
        </w:rPr>
        <w:t>, 91-98.</w:t>
      </w:r>
    </w:p>
    <w:p w14:paraId="05B20E6D"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Langan, R., &amp; Kumar, A. (2019). Time versus money: The role of perceived environmental effort in consumers' evaluation of corporate giving. </w:t>
      </w:r>
      <w:r>
        <w:rPr>
          <w:rFonts w:ascii="Times New Roman" w:eastAsia="Times New Roman" w:hAnsi="Times New Roman" w:cs="Times New Roman"/>
          <w:i/>
          <w:iCs/>
          <w:sz w:val="24"/>
          <w:szCs w:val="24"/>
        </w:rPr>
        <w:t>Journal of Business Research</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99</w:t>
      </w:r>
      <w:r>
        <w:rPr>
          <w:rFonts w:ascii="Times New Roman" w:eastAsia="Times New Roman" w:hAnsi="Times New Roman" w:cs="Times New Roman"/>
          <w:sz w:val="24"/>
          <w:szCs w:val="24"/>
        </w:rPr>
        <w:t xml:space="preserve">, 295-305. </w:t>
      </w:r>
    </w:p>
    <w:p w14:paraId="05B20E6E"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Lazzarini, G. A., </w:t>
      </w:r>
      <w:proofErr w:type="spellStart"/>
      <w:r>
        <w:rPr>
          <w:rFonts w:ascii="Times New Roman" w:eastAsia="Times New Roman" w:hAnsi="Times New Roman" w:cs="Times New Roman"/>
          <w:sz w:val="24"/>
          <w:szCs w:val="24"/>
        </w:rPr>
        <w:t>Visschers</w:t>
      </w:r>
      <w:proofErr w:type="spellEnd"/>
      <w:r>
        <w:rPr>
          <w:rFonts w:ascii="Times New Roman" w:eastAsia="Times New Roman" w:hAnsi="Times New Roman" w:cs="Times New Roman"/>
          <w:sz w:val="24"/>
          <w:szCs w:val="24"/>
        </w:rPr>
        <w:t xml:space="preserve">, V. H., &amp; Siegrist, M. (2018). How to improve consumers' environmental sustainability judgements of foods. </w:t>
      </w:r>
      <w:r>
        <w:rPr>
          <w:rFonts w:ascii="Times New Roman" w:eastAsia="Times New Roman" w:hAnsi="Times New Roman" w:cs="Times New Roman"/>
          <w:i/>
          <w:iCs/>
          <w:sz w:val="24"/>
          <w:szCs w:val="24"/>
        </w:rPr>
        <w:t>Journal of Cleaner Production</w:t>
      </w:r>
      <w:r>
        <w:rPr>
          <w:rFonts w:ascii="Times New Roman" w:eastAsia="Times New Roman" w:hAnsi="Times New Roman" w:cs="Times New Roman"/>
          <w:sz w:val="24"/>
          <w:szCs w:val="24"/>
        </w:rPr>
        <w:t>, 198, 564-574.</w:t>
      </w:r>
    </w:p>
    <w:p w14:paraId="05B20E6F"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Luchs, M. G., Naylor, R. W., Irwin, J. R., &amp; Raghunathan, R. (2010). The sustainability liability: Potential negative effects of ethicality on product preference. </w:t>
      </w:r>
      <w:r>
        <w:rPr>
          <w:rFonts w:ascii="Times New Roman" w:eastAsia="Times New Roman" w:hAnsi="Times New Roman" w:cs="Times New Roman"/>
          <w:i/>
          <w:iCs/>
          <w:sz w:val="24"/>
          <w:szCs w:val="24"/>
        </w:rPr>
        <w:t>Journal of Marketing</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74</w:t>
      </w:r>
      <w:r>
        <w:rPr>
          <w:rFonts w:ascii="Times New Roman" w:eastAsia="Times New Roman" w:hAnsi="Times New Roman" w:cs="Times New Roman"/>
          <w:sz w:val="24"/>
          <w:szCs w:val="24"/>
        </w:rPr>
        <w:t>(5), 18-31.</w:t>
      </w:r>
    </w:p>
    <w:p w14:paraId="05B20E70"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Magnier, L., &amp; </w:t>
      </w:r>
      <w:proofErr w:type="spellStart"/>
      <w:r>
        <w:rPr>
          <w:rFonts w:ascii="Times New Roman" w:eastAsia="Times New Roman" w:hAnsi="Times New Roman" w:cs="Times New Roman"/>
          <w:sz w:val="24"/>
          <w:szCs w:val="24"/>
        </w:rPr>
        <w:t>Schoormans</w:t>
      </w:r>
      <w:proofErr w:type="spellEnd"/>
      <w:r>
        <w:rPr>
          <w:rFonts w:ascii="Times New Roman" w:eastAsia="Times New Roman" w:hAnsi="Times New Roman" w:cs="Times New Roman"/>
          <w:sz w:val="24"/>
          <w:szCs w:val="24"/>
        </w:rPr>
        <w:t xml:space="preserve">, J. (2015). Consumer reactions to sustainable packaging: The interplay of visual appearance, verbal claim and environmental concern. </w:t>
      </w:r>
      <w:r>
        <w:rPr>
          <w:rFonts w:ascii="Times New Roman" w:eastAsia="Times New Roman" w:hAnsi="Times New Roman" w:cs="Times New Roman"/>
          <w:i/>
          <w:iCs/>
          <w:sz w:val="24"/>
          <w:szCs w:val="24"/>
        </w:rPr>
        <w:t>Journal of Environmental Psychology</w:t>
      </w:r>
      <w:r>
        <w:rPr>
          <w:rFonts w:ascii="Times New Roman" w:eastAsia="Times New Roman" w:hAnsi="Times New Roman" w:cs="Times New Roman"/>
          <w:sz w:val="24"/>
          <w:szCs w:val="24"/>
        </w:rPr>
        <w:t xml:space="preserve">, 44, 53-62. </w:t>
      </w:r>
    </w:p>
    <w:p w14:paraId="05B20E71"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Mead, J. A., &amp; Richerson, R. (2018). Package color saturation and food healthfulness perceptions. </w:t>
      </w:r>
      <w:r>
        <w:rPr>
          <w:rFonts w:ascii="Times New Roman" w:eastAsia="Times New Roman" w:hAnsi="Times New Roman" w:cs="Times New Roman"/>
          <w:i/>
          <w:iCs/>
          <w:sz w:val="24"/>
          <w:szCs w:val="24"/>
        </w:rPr>
        <w:t>Journal of Business Research</w:t>
      </w:r>
      <w:r>
        <w:rPr>
          <w:rFonts w:ascii="Times New Roman" w:eastAsia="Times New Roman" w:hAnsi="Times New Roman" w:cs="Times New Roman"/>
          <w:sz w:val="24"/>
          <w:szCs w:val="24"/>
        </w:rPr>
        <w:t>, 82, 10-18.</w:t>
      </w:r>
    </w:p>
    <w:p w14:paraId="05B20E72" w14:textId="77777777" w:rsidR="00932051" w:rsidRDefault="00525931">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Meiting</w:t>
      </w:r>
      <w:proofErr w:type="spellEnd"/>
      <w:r>
        <w:rPr>
          <w:rFonts w:ascii="Times New Roman" w:eastAsia="Times New Roman" w:hAnsi="Times New Roman" w:cs="Times New Roman"/>
          <w:sz w:val="24"/>
          <w:szCs w:val="24"/>
        </w:rPr>
        <w:t>, L., &amp; Hua, W. (2021). Angular or rounded? The effect of the shape of green brand logos on consumer perception. </w:t>
      </w:r>
      <w:r>
        <w:rPr>
          <w:rFonts w:ascii="Times New Roman" w:eastAsia="Times New Roman" w:hAnsi="Times New Roman" w:cs="Times New Roman"/>
          <w:i/>
          <w:iCs/>
          <w:sz w:val="24"/>
          <w:szCs w:val="24"/>
        </w:rPr>
        <w:t>Journal of Cleaner Production</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279</w:t>
      </w:r>
      <w:r>
        <w:rPr>
          <w:rFonts w:ascii="Times New Roman" w:eastAsia="Times New Roman" w:hAnsi="Times New Roman" w:cs="Times New Roman"/>
          <w:sz w:val="24"/>
          <w:szCs w:val="24"/>
        </w:rPr>
        <w:t xml:space="preserve">, 123801. </w:t>
      </w:r>
    </w:p>
    <w:p w14:paraId="05B20E73"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Meyvis, T., &amp; Yoon, H. (2021). Adding is </w:t>
      </w:r>
      <w:proofErr w:type="spellStart"/>
      <w:r>
        <w:rPr>
          <w:rFonts w:ascii="Times New Roman" w:eastAsia="Times New Roman" w:hAnsi="Times New Roman" w:cs="Times New Roman"/>
          <w:sz w:val="24"/>
          <w:szCs w:val="24"/>
        </w:rPr>
        <w:t>favoured</w:t>
      </w:r>
      <w:proofErr w:type="spellEnd"/>
      <w:r>
        <w:rPr>
          <w:rFonts w:ascii="Times New Roman" w:eastAsia="Times New Roman" w:hAnsi="Times New Roman" w:cs="Times New Roman"/>
          <w:sz w:val="24"/>
          <w:szCs w:val="24"/>
        </w:rPr>
        <w:t xml:space="preserve"> over subtracting in problem solving. </w:t>
      </w:r>
      <w:r>
        <w:rPr>
          <w:rFonts w:ascii="Times New Roman" w:eastAsia="Times New Roman" w:hAnsi="Times New Roman" w:cs="Times New Roman"/>
          <w:i/>
          <w:iCs/>
          <w:sz w:val="24"/>
          <w:szCs w:val="24"/>
        </w:rPr>
        <w:t>Nature</w:t>
      </w:r>
      <w:r>
        <w:rPr>
          <w:rFonts w:ascii="Times New Roman" w:eastAsia="Times New Roman" w:hAnsi="Times New Roman" w:cs="Times New Roman"/>
          <w:sz w:val="24"/>
          <w:szCs w:val="24"/>
        </w:rPr>
        <w:t>, 592, 189-190.</w:t>
      </w:r>
    </w:p>
    <w:p w14:paraId="05B20E74" w14:textId="77777777" w:rsidR="00932051" w:rsidRDefault="00525931">
      <w:pPr>
        <w:spacing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Min, L., Liu, P. J., &amp; Anderson, C. L. (2025). The visual complexity= higher production cost lay belief. </w:t>
      </w:r>
      <w:r>
        <w:rPr>
          <w:rFonts w:ascii="Times New Roman" w:eastAsia="Times New Roman" w:hAnsi="Times New Roman" w:cs="Times New Roman"/>
          <w:i/>
          <w:iCs/>
          <w:color w:val="222222"/>
          <w:sz w:val="24"/>
          <w:szCs w:val="24"/>
          <w:highlight w:val="white"/>
        </w:rPr>
        <w:t>Journal of Consumer Research</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iCs/>
          <w:color w:val="222222"/>
          <w:sz w:val="24"/>
          <w:szCs w:val="24"/>
          <w:highlight w:val="white"/>
        </w:rPr>
        <w:t>51</w:t>
      </w:r>
      <w:r>
        <w:rPr>
          <w:rFonts w:ascii="Times New Roman" w:eastAsia="Times New Roman" w:hAnsi="Times New Roman" w:cs="Times New Roman"/>
          <w:color w:val="222222"/>
          <w:sz w:val="24"/>
          <w:szCs w:val="24"/>
          <w:highlight w:val="white"/>
        </w:rPr>
        <w:t>(6), 1167-1185.</w:t>
      </w:r>
    </w:p>
    <w:p w14:paraId="05B20E75" w14:textId="77777777" w:rsidR="00932051" w:rsidRDefault="00525931">
      <w:pPr>
        <w:spacing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Mohr, L. A., &amp; Bitner, M. J. (1995). The role of employee effort in satisfaction with service transactions. </w:t>
      </w:r>
      <w:r>
        <w:rPr>
          <w:rFonts w:ascii="Times New Roman" w:eastAsia="Times New Roman" w:hAnsi="Times New Roman" w:cs="Times New Roman"/>
          <w:i/>
          <w:iCs/>
          <w:color w:val="222222"/>
          <w:sz w:val="24"/>
          <w:szCs w:val="24"/>
          <w:highlight w:val="white"/>
        </w:rPr>
        <w:t>Journal of Business Research</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iCs/>
          <w:color w:val="222222"/>
          <w:sz w:val="24"/>
          <w:szCs w:val="24"/>
          <w:highlight w:val="white"/>
        </w:rPr>
        <w:t>32</w:t>
      </w:r>
      <w:r>
        <w:rPr>
          <w:rFonts w:ascii="Times New Roman" w:eastAsia="Times New Roman" w:hAnsi="Times New Roman" w:cs="Times New Roman"/>
          <w:color w:val="222222"/>
          <w:sz w:val="24"/>
          <w:szCs w:val="24"/>
          <w:highlight w:val="white"/>
        </w:rPr>
        <w:t xml:space="preserve">(3), 239-252. </w:t>
      </w:r>
    </w:p>
    <w:p w14:paraId="05B20E76" w14:textId="77777777" w:rsidR="00932051" w:rsidRDefault="00525931">
      <w:pPr>
        <w:spacing w:line="240" w:lineRule="auto"/>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Morales, A. C. (2005). Giving firms an “E” for effort: Consumer responses to high-effort firms. </w:t>
      </w:r>
      <w:r>
        <w:rPr>
          <w:rFonts w:ascii="Times New Roman" w:eastAsia="Times New Roman" w:hAnsi="Times New Roman" w:cs="Times New Roman"/>
          <w:i/>
          <w:iCs/>
          <w:color w:val="222222"/>
          <w:sz w:val="24"/>
          <w:szCs w:val="24"/>
          <w:highlight w:val="white"/>
        </w:rPr>
        <w:t>Journal of Consumer Research</w:t>
      </w:r>
      <w:r>
        <w:rPr>
          <w:rFonts w:ascii="Times New Roman" w:eastAsia="Times New Roman" w:hAnsi="Times New Roman" w:cs="Times New Roman"/>
          <w:color w:val="222222"/>
          <w:sz w:val="24"/>
          <w:szCs w:val="24"/>
          <w:highlight w:val="white"/>
        </w:rPr>
        <w:t>, </w:t>
      </w:r>
      <w:r>
        <w:rPr>
          <w:rFonts w:ascii="Times New Roman" w:eastAsia="Times New Roman" w:hAnsi="Times New Roman" w:cs="Times New Roman"/>
          <w:i/>
          <w:iCs/>
          <w:color w:val="222222"/>
          <w:sz w:val="24"/>
          <w:szCs w:val="24"/>
          <w:highlight w:val="white"/>
        </w:rPr>
        <w:t>31</w:t>
      </w:r>
      <w:r>
        <w:rPr>
          <w:rFonts w:ascii="Times New Roman" w:eastAsia="Times New Roman" w:hAnsi="Times New Roman" w:cs="Times New Roman"/>
          <w:color w:val="222222"/>
          <w:sz w:val="24"/>
          <w:szCs w:val="24"/>
          <w:highlight w:val="white"/>
        </w:rPr>
        <w:t>(4), 806-812.</w:t>
      </w:r>
    </w:p>
    <w:p w14:paraId="05B20E77" w14:textId="77777777" w:rsidR="00932051" w:rsidRDefault="00525931">
      <w:pPr>
        <w:spacing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Nenkov, G. Y. (2024). Shifting focus in the fight against core environmental challenges.</w:t>
      </w:r>
      <w:r>
        <w:rPr>
          <w:rFonts w:ascii="Times New Roman" w:eastAsia="Times New Roman" w:hAnsi="Times New Roman" w:cs="Times New Roman"/>
          <w:i/>
          <w:iCs/>
          <w:color w:val="222222"/>
          <w:sz w:val="24"/>
          <w:szCs w:val="24"/>
        </w:rPr>
        <w:t xml:space="preserve"> Journal of the Academy of Marketing Science</w:t>
      </w:r>
      <w:r>
        <w:rPr>
          <w:rFonts w:ascii="Times New Roman" w:eastAsia="Times New Roman" w:hAnsi="Times New Roman" w:cs="Times New Roman"/>
          <w:color w:val="222222"/>
          <w:sz w:val="24"/>
          <w:szCs w:val="24"/>
        </w:rPr>
        <w:t xml:space="preserve">, 52(5), 1273-1278. </w:t>
      </w:r>
    </w:p>
    <w:p w14:paraId="05B20E78" w14:textId="77777777" w:rsidR="00932051" w:rsidRDefault="00525931">
      <w:pPr>
        <w:spacing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Newman, G. E., Gorlin, M., &amp; Dhar, R. (2014). When going green backfires: How firm intentions shape the evaluation of socially beneficial product enhancements. </w:t>
      </w:r>
      <w:r>
        <w:rPr>
          <w:rFonts w:ascii="Times New Roman" w:eastAsia="Times New Roman" w:hAnsi="Times New Roman" w:cs="Times New Roman"/>
          <w:i/>
          <w:iCs/>
          <w:color w:val="222222"/>
          <w:sz w:val="24"/>
          <w:szCs w:val="24"/>
        </w:rPr>
        <w:t>Journal of Consumer Research</w:t>
      </w:r>
      <w:r>
        <w:rPr>
          <w:rFonts w:ascii="Times New Roman" w:eastAsia="Times New Roman" w:hAnsi="Times New Roman" w:cs="Times New Roman"/>
          <w:color w:val="222222"/>
          <w:sz w:val="24"/>
          <w:szCs w:val="24"/>
        </w:rPr>
        <w:t>, </w:t>
      </w:r>
      <w:r>
        <w:rPr>
          <w:rFonts w:ascii="Times New Roman" w:eastAsia="Times New Roman" w:hAnsi="Times New Roman" w:cs="Times New Roman"/>
          <w:i/>
          <w:iCs/>
          <w:color w:val="222222"/>
          <w:sz w:val="24"/>
          <w:szCs w:val="24"/>
        </w:rPr>
        <w:t>41</w:t>
      </w:r>
      <w:r>
        <w:rPr>
          <w:rFonts w:ascii="Times New Roman" w:eastAsia="Times New Roman" w:hAnsi="Times New Roman" w:cs="Times New Roman"/>
          <w:color w:val="222222"/>
          <w:sz w:val="24"/>
          <w:szCs w:val="24"/>
        </w:rPr>
        <w:t xml:space="preserve">(3), 823-839. </w:t>
      </w:r>
    </w:p>
    <w:p w14:paraId="05B20E79" w14:textId="77777777" w:rsidR="00932051" w:rsidRDefault="00525931">
      <w:pPr>
        <w:spacing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New York Times. (2023). Available at </w:t>
      </w:r>
      <w:hyperlink r:id="rId24">
        <w:r>
          <w:rPr>
            <w:rFonts w:ascii="Times New Roman" w:eastAsia="Times New Roman" w:hAnsi="Times New Roman" w:cs="Times New Roman"/>
            <w:color w:val="222222"/>
            <w:sz w:val="24"/>
            <w:szCs w:val="24"/>
            <w:u w:val="single"/>
          </w:rPr>
          <w:t>The Cotton Tote Crisis - The New York Times</w:t>
        </w:r>
      </w:hyperlink>
      <w:r>
        <w:rPr>
          <w:rFonts w:ascii="Times New Roman" w:eastAsia="Times New Roman" w:hAnsi="Times New Roman" w:cs="Times New Roman"/>
          <w:color w:val="222222"/>
          <w:sz w:val="24"/>
          <w:szCs w:val="24"/>
        </w:rPr>
        <w:t xml:space="preserve"> </w:t>
      </w:r>
    </w:p>
    <w:p w14:paraId="05B20E7A" w14:textId="77777777" w:rsidR="00932051" w:rsidRDefault="00525931">
      <w:pPr>
        <w:spacing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Norton, M. I., Mochon, D., &amp; Ariely, D. (2012). The IKEA effect: When labor leads to love. </w:t>
      </w:r>
      <w:r>
        <w:rPr>
          <w:rFonts w:ascii="Times New Roman" w:eastAsia="Times New Roman" w:hAnsi="Times New Roman" w:cs="Times New Roman"/>
          <w:i/>
          <w:iCs/>
          <w:color w:val="222222"/>
          <w:sz w:val="24"/>
          <w:szCs w:val="24"/>
        </w:rPr>
        <w:t>Journal of Consumer Psychology, 22</w:t>
      </w:r>
      <w:r>
        <w:rPr>
          <w:rFonts w:ascii="Times New Roman" w:eastAsia="Times New Roman" w:hAnsi="Times New Roman" w:cs="Times New Roman"/>
          <w:color w:val="222222"/>
          <w:sz w:val="24"/>
          <w:szCs w:val="24"/>
        </w:rPr>
        <w:t>(3), 453-460.</w:t>
      </w:r>
    </w:p>
    <w:p w14:paraId="05B20E7B" w14:textId="77777777" w:rsidR="00932051" w:rsidRDefault="00525931">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Olivola</w:t>
      </w:r>
      <w:proofErr w:type="spellEnd"/>
      <w:r>
        <w:rPr>
          <w:rFonts w:ascii="Times New Roman" w:eastAsia="Times New Roman" w:hAnsi="Times New Roman" w:cs="Times New Roman"/>
          <w:sz w:val="24"/>
          <w:szCs w:val="24"/>
        </w:rPr>
        <w:t xml:space="preserve">, C. Y., &amp; Shafir, E. (2011). The martyrdom effect: When pain and effort increase prosocial contributions. </w:t>
      </w:r>
      <w:r>
        <w:rPr>
          <w:rFonts w:ascii="Times New Roman" w:eastAsia="Times New Roman" w:hAnsi="Times New Roman" w:cs="Times New Roman"/>
          <w:i/>
          <w:iCs/>
          <w:sz w:val="24"/>
          <w:szCs w:val="24"/>
        </w:rPr>
        <w:t>The Journal of Behavioral Decision Making, 26</w:t>
      </w:r>
      <w:r>
        <w:rPr>
          <w:rFonts w:ascii="Times New Roman" w:eastAsia="Times New Roman" w:hAnsi="Times New Roman" w:cs="Times New Roman"/>
          <w:sz w:val="24"/>
          <w:szCs w:val="24"/>
        </w:rPr>
        <w:t xml:space="preserve">(December 2011), 91–105. </w:t>
      </w:r>
    </w:p>
    <w:p w14:paraId="05B20E7C" w14:textId="77777777" w:rsidR="00932051" w:rsidRDefault="00525931">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Paparoidamis</w:t>
      </w:r>
      <w:proofErr w:type="spellEnd"/>
      <w:r>
        <w:rPr>
          <w:rFonts w:ascii="Times New Roman" w:eastAsia="Times New Roman" w:hAnsi="Times New Roman" w:cs="Times New Roman"/>
          <w:sz w:val="24"/>
          <w:szCs w:val="24"/>
        </w:rPr>
        <w:t xml:space="preserve">, N. G., Tran, T. T. H., </w:t>
      </w:r>
      <w:proofErr w:type="spellStart"/>
      <w:r>
        <w:rPr>
          <w:rFonts w:ascii="Times New Roman" w:eastAsia="Times New Roman" w:hAnsi="Times New Roman" w:cs="Times New Roman"/>
          <w:sz w:val="24"/>
          <w:szCs w:val="24"/>
        </w:rPr>
        <w:t>Leonidou</w:t>
      </w:r>
      <w:proofErr w:type="spellEnd"/>
      <w:r>
        <w:rPr>
          <w:rFonts w:ascii="Times New Roman" w:eastAsia="Times New Roman" w:hAnsi="Times New Roman" w:cs="Times New Roman"/>
          <w:sz w:val="24"/>
          <w:szCs w:val="24"/>
        </w:rPr>
        <w:t xml:space="preserve">, L. C., &amp; </w:t>
      </w:r>
      <w:proofErr w:type="spellStart"/>
      <w:r>
        <w:rPr>
          <w:rFonts w:ascii="Times New Roman" w:eastAsia="Times New Roman" w:hAnsi="Times New Roman" w:cs="Times New Roman"/>
          <w:sz w:val="24"/>
          <w:szCs w:val="24"/>
        </w:rPr>
        <w:t>Zeriti</w:t>
      </w:r>
      <w:proofErr w:type="spellEnd"/>
      <w:r>
        <w:rPr>
          <w:rFonts w:ascii="Times New Roman" w:eastAsia="Times New Roman" w:hAnsi="Times New Roman" w:cs="Times New Roman"/>
          <w:sz w:val="24"/>
          <w:szCs w:val="24"/>
        </w:rPr>
        <w:t xml:space="preserve">, A. (2019). Being innovative while being green: An experimental inquiry into how consumers respond to eco‐innovative product designs. </w:t>
      </w:r>
      <w:r>
        <w:rPr>
          <w:rFonts w:ascii="Times New Roman" w:eastAsia="Times New Roman" w:hAnsi="Times New Roman" w:cs="Times New Roman"/>
          <w:i/>
          <w:iCs/>
          <w:sz w:val="24"/>
          <w:szCs w:val="24"/>
        </w:rPr>
        <w:t>Journal of Product Innovation Management</w:t>
      </w:r>
      <w:r>
        <w:rPr>
          <w:rFonts w:ascii="Times New Roman" w:eastAsia="Times New Roman" w:hAnsi="Times New Roman" w:cs="Times New Roman"/>
          <w:sz w:val="24"/>
          <w:szCs w:val="24"/>
        </w:rPr>
        <w:t>, 36(6), 824-847.</w:t>
      </w:r>
    </w:p>
    <w:p w14:paraId="05B20E7D"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Peer, E., Brandimarte, L., Samat, S., &amp; </w:t>
      </w:r>
      <w:proofErr w:type="spellStart"/>
      <w:r>
        <w:rPr>
          <w:rFonts w:ascii="Times New Roman" w:eastAsia="Times New Roman" w:hAnsi="Times New Roman" w:cs="Times New Roman"/>
          <w:sz w:val="24"/>
          <w:szCs w:val="24"/>
        </w:rPr>
        <w:t>Acquisti</w:t>
      </w:r>
      <w:proofErr w:type="spellEnd"/>
      <w:r>
        <w:rPr>
          <w:rFonts w:ascii="Times New Roman" w:eastAsia="Times New Roman" w:hAnsi="Times New Roman" w:cs="Times New Roman"/>
          <w:sz w:val="24"/>
          <w:szCs w:val="24"/>
        </w:rPr>
        <w:t xml:space="preserve">, A. (2017). Beyond the Turk: Alternative platforms for crowdsourcing behavioral research. </w:t>
      </w:r>
      <w:r>
        <w:rPr>
          <w:rFonts w:ascii="Times New Roman" w:eastAsia="Times New Roman" w:hAnsi="Times New Roman" w:cs="Times New Roman"/>
          <w:i/>
          <w:iCs/>
          <w:sz w:val="24"/>
          <w:szCs w:val="24"/>
        </w:rPr>
        <w:t>Journal of Experimental Social Psychology</w:t>
      </w:r>
      <w:r>
        <w:rPr>
          <w:rFonts w:ascii="Times New Roman" w:eastAsia="Times New Roman" w:hAnsi="Times New Roman" w:cs="Times New Roman"/>
          <w:sz w:val="24"/>
          <w:szCs w:val="24"/>
        </w:rPr>
        <w:t>, 70, 153-163.</w:t>
      </w:r>
    </w:p>
    <w:p w14:paraId="05B20E7E" w14:textId="77777777" w:rsidR="00932051" w:rsidRDefault="00525931">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Pichierri</w:t>
      </w:r>
      <w:proofErr w:type="spellEnd"/>
      <w:r>
        <w:rPr>
          <w:rFonts w:ascii="Times New Roman" w:eastAsia="Times New Roman" w:hAnsi="Times New Roman" w:cs="Times New Roman"/>
          <w:sz w:val="24"/>
          <w:szCs w:val="24"/>
        </w:rPr>
        <w:t xml:space="preserve">, M., &amp; Pino, G. (2023). Less saturated, more eco‐friendly: Color saturation and consumer perception of product sustainability. </w:t>
      </w:r>
      <w:r>
        <w:rPr>
          <w:rFonts w:ascii="Times New Roman" w:eastAsia="Times New Roman" w:hAnsi="Times New Roman" w:cs="Times New Roman"/>
          <w:i/>
          <w:iCs/>
          <w:sz w:val="24"/>
          <w:szCs w:val="24"/>
        </w:rPr>
        <w:t>Psychology &amp; Marketing</w:t>
      </w:r>
      <w:r>
        <w:rPr>
          <w:rFonts w:ascii="Times New Roman" w:eastAsia="Times New Roman" w:hAnsi="Times New Roman" w:cs="Times New Roman"/>
          <w:sz w:val="24"/>
          <w:szCs w:val="24"/>
        </w:rPr>
        <w:t>, 40(9), 1830-1849.</w:t>
      </w:r>
    </w:p>
    <w:p w14:paraId="05B20E7F" w14:textId="77777777" w:rsidR="00932051" w:rsidRDefault="00525931">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Reppmann</w:t>
      </w:r>
      <w:proofErr w:type="spellEnd"/>
      <w:r>
        <w:rPr>
          <w:rFonts w:ascii="Times New Roman" w:eastAsia="Times New Roman" w:hAnsi="Times New Roman" w:cs="Times New Roman"/>
          <w:sz w:val="24"/>
          <w:szCs w:val="24"/>
        </w:rPr>
        <w:t xml:space="preserve">, M., Harms, S., Edinger-Schons, L. M., &amp; Foege, J. N. (2024). Activating the sustainable consumer: The role of customer involvement in corporate sustainability. </w:t>
      </w:r>
      <w:r>
        <w:rPr>
          <w:rFonts w:ascii="Times New Roman" w:eastAsia="Times New Roman" w:hAnsi="Times New Roman" w:cs="Times New Roman"/>
          <w:i/>
          <w:iCs/>
          <w:sz w:val="24"/>
          <w:szCs w:val="24"/>
        </w:rPr>
        <w:t>Journal of the Academy of Marketing Science</w:t>
      </w:r>
      <w:r>
        <w:rPr>
          <w:rFonts w:ascii="Times New Roman" w:eastAsia="Times New Roman" w:hAnsi="Times New Roman" w:cs="Times New Roman"/>
          <w:sz w:val="24"/>
          <w:szCs w:val="24"/>
        </w:rPr>
        <w:t>, 1-31.</w:t>
      </w:r>
    </w:p>
    <w:p w14:paraId="05B20E80"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and Markets. (2025). Available at </w:t>
      </w:r>
      <w:hyperlink r:id="rId25">
        <w:r>
          <w:rPr>
            <w:rFonts w:ascii="Times New Roman" w:eastAsia="Times New Roman" w:hAnsi="Times New Roman" w:cs="Times New Roman"/>
            <w:color w:val="0563C1"/>
            <w:sz w:val="24"/>
            <w:szCs w:val="24"/>
            <w:u w:val="single"/>
          </w:rPr>
          <w:t>Reusable Water Bottles - Global Strategic Business Report</w:t>
        </w:r>
      </w:hyperlink>
      <w:r>
        <w:rPr>
          <w:rFonts w:ascii="Times New Roman" w:eastAsia="Times New Roman" w:hAnsi="Times New Roman" w:cs="Times New Roman"/>
          <w:sz w:val="24"/>
          <w:szCs w:val="24"/>
        </w:rPr>
        <w:t xml:space="preserve"> </w:t>
      </w:r>
    </w:p>
    <w:p w14:paraId="05B20E81"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Robben, H. S. J., &amp; </w:t>
      </w:r>
      <w:proofErr w:type="spellStart"/>
      <w:r>
        <w:rPr>
          <w:rFonts w:ascii="Times New Roman" w:eastAsia="Times New Roman" w:hAnsi="Times New Roman" w:cs="Times New Roman"/>
          <w:sz w:val="24"/>
          <w:szCs w:val="24"/>
        </w:rPr>
        <w:t>Verhallen</w:t>
      </w:r>
      <w:proofErr w:type="spellEnd"/>
      <w:r>
        <w:rPr>
          <w:rFonts w:ascii="Times New Roman" w:eastAsia="Times New Roman" w:hAnsi="Times New Roman" w:cs="Times New Roman"/>
          <w:sz w:val="24"/>
          <w:szCs w:val="24"/>
        </w:rPr>
        <w:t xml:space="preserve">, T. M. M. (1994). Behavioral costs as determinants of cost perception and preference formation for gifts to receive and gifts to give. </w:t>
      </w:r>
      <w:r>
        <w:rPr>
          <w:rFonts w:ascii="Times New Roman" w:eastAsia="Times New Roman" w:hAnsi="Times New Roman" w:cs="Times New Roman"/>
          <w:i/>
          <w:iCs/>
          <w:sz w:val="24"/>
          <w:szCs w:val="24"/>
        </w:rPr>
        <w:t>Journal of Economic Psychology, 15</w:t>
      </w:r>
      <w:r>
        <w:rPr>
          <w:rFonts w:ascii="Times New Roman" w:eastAsia="Times New Roman" w:hAnsi="Times New Roman" w:cs="Times New Roman"/>
          <w:sz w:val="24"/>
          <w:szCs w:val="24"/>
        </w:rPr>
        <w:t>(2), 333–350.</w:t>
      </w:r>
    </w:p>
    <w:p w14:paraId="05B20E82"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 S., Bhattacharya, C. B., </w:t>
      </w:r>
      <w:proofErr w:type="spellStart"/>
      <w:r>
        <w:rPr>
          <w:rFonts w:ascii="Times New Roman" w:eastAsia="Times New Roman" w:hAnsi="Times New Roman" w:cs="Times New Roman"/>
          <w:sz w:val="24"/>
          <w:szCs w:val="24"/>
        </w:rPr>
        <w:t>Lindrud</w:t>
      </w:r>
      <w:proofErr w:type="spellEnd"/>
      <w:r>
        <w:rPr>
          <w:rFonts w:ascii="Times New Roman" w:eastAsia="Times New Roman" w:hAnsi="Times New Roman" w:cs="Times New Roman"/>
          <w:sz w:val="24"/>
          <w:szCs w:val="24"/>
        </w:rPr>
        <w:t xml:space="preserve">, K., Bellezza, S., </w:t>
      </w:r>
      <w:proofErr w:type="spellStart"/>
      <w:r>
        <w:rPr>
          <w:rFonts w:ascii="Times New Roman" w:eastAsia="Times New Roman" w:hAnsi="Times New Roman" w:cs="Times New Roman"/>
          <w:sz w:val="24"/>
          <w:szCs w:val="24"/>
        </w:rPr>
        <w:t>Cornil</w:t>
      </w:r>
      <w:proofErr w:type="spellEnd"/>
      <w:r>
        <w:rPr>
          <w:rFonts w:ascii="Times New Roman" w:eastAsia="Times New Roman" w:hAnsi="Times New Roman" w:cs="Times New Roman"/>
          <w:sz w:val="24"/>
          <w:szCs w:val="24"/>
        </w:rPr>
        <w:t>, Y., Du, S., ... &amp; Winterich, K. P. (2024). Enhancing Consumer and Planetary Well-Being by Consuming Less, Consuming Better. </w:t>
      </w:r>
      <w:r>
        <w:rPr>
          <w:rFonts w:ascii="Times New Roman" w:eastAsia="Times New Roman" w:hAnsi="Times New Roman" w:cs="Times New Roman"/>
          <w:i/>
          <w:iCs/>
          <w:sz w:val="24"/>
          <w:szCs w:val="24"/>
        </w:rPr>
        <w:t>Journal of Sustainable Marketing</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5</w:t>
      </w:r>
      <w:r>
        <w:rPr>
          <w:rFonts w:ascii="Times New Roman" w:eastAsia="Times New Roman" w:hAnsi="Times New Roman" w:cs="Times New Roman"/>
          <w:sz w:val="24"/>
          <w:szCs w:val="24"/>
        </w:rPr>
        <w:t>(1), 30-42.</w:t>
      </w:r>
    </w:p>
    <w:p w14:paraId="05B20E83"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Sheth, J. N., Sethia, N. K., &amp; Srinivas, S. (2011). Mindful consumption: A customer-centric approach to sustainability. </w:t>
      </w:r>
      <w:r>
        <w:rPr>
          <w:rFonts w:ascii="Times New Roman" w:eastAsia="Times New Roman" w:hAnsi="Times New Roman" w:cs="Times New Roman"/>
          <w:i/>
          <w:iCs/>
          <w:sz w:val="24"/>
          <w:szCs w:val="24"/>
        </w:rPr>
        <w:t>Journal of the Academy of Marketing Science</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39</w:t>
      </w:r>
      <w:r>
        <w:rPr>
          <w:rFonts w:ascii="Times New Roman" w:eastAsia="Times New Roman" w:hAnsi="Times New Roman" w:cs="Times New Roman"/>
          <w:sz w:val="24"/>
          <w:szCs w:val="24"/>
        </w:rPr>
        <w:t>, 21-39.</w:t>
      </w:r>
    </w:p>
    <w:p w14:paraId="05B20E84"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Skylark, W. J. (2021). More is easier? Testing the role of fluency in the more credible effect. </w:t>
      </w:r>
      <w:r>
        <w:rPr>
          <w:rFonts w:ascii="Times New Roman" w:eastAsia="Times New Roman" w:hAnsi="Times New Roman" w:cs="Times New Roman"/>
          <w:i/>
          <w:iCs/>
          <w:sz w:val="24"/>
          <w:szCs w:val="24"/>
        </w:rPr>
        <w:t>Judgment and Decision Making</w:t>
      </w:r>
      <w:r>
        <w:rPr>
          <w:rFonts w:ascii="Times New Roman" w:eastAsia="Times New Roman" w:hAnsi="Times New Roman" w:cs="Times New Roman"/>
          <w:sz w:val="24"/>
          <w:szCs w:val="24"/>
        </w:rPr>
        <w:t>, 16(3), 638–686.</w:t>
      </w:r>
    </w:p>
    <w:p w14:paraId="05B20E85"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Sokolova, T., Krishna, A., &amp; Döring, T. (2023). Paper meets plastic: The perceived environmental friendliness of product packaging. </w:t>
      </w:r>
      <w:r>
        <w:rPr>
          <w:rFonts w:ascii="Times New Roman" w:eastAsia="Times New Roman" w:hAnsi="Times New Roman" w:cs="Times New Roman"/>
          <w:i/>
          <w:iCs/>
          <w:sz w:val="24"/>
          <w:szCs w:val="24"/>
        </w:rPr>
        <w:t>Journal of Consumer Research</w:t>
      </w:r>
      <w:r>
        <w:rPr>
          <w:rFonts w:ascii="Times New Roman" w:eastAsia="Times New Roman" w:hAnsi="Times New Roman" w:cs="Times New Roman"/>
          <w:sz w:val="24"/>
          <w:szCs w:val="24"/>
        </w:rPr>
        <w:t xml:space="preserve">, 50(3), 468-491. </w:t>
      </w:r>
    </w:p>
    <w:p w14:paraId="05B20E86"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Spencer, S. J., Zanna, M. P., &amp; Fong, G. T. (2005). Establishing a causal chain: Why experiments are often more effective than mediational analyses in examining psychological processes. </w:t>
      </w:r>
      <w:r>
        <w:rPr>
          <w:rFonts w:ascii="Times New Roman" w:eastAsia="Times New Roman" w:hAnsi="Times New Roman" w:cs="Times New Roman"/>
          <w:i/>
          <w:iCs/>
          <w:sz w:val="24"/>
          <w:szCs w:val="24"/>
        </w:rPr>
        <w:t>Journal of Personality and Social Psychology</w:t>
      </w:r>
      <w:r>
        <w:rPr>
          <w:rFonts w:ascii="Times New Roman" w:eastAsia="Times New Roman" w:hAnsi="Times New Roman" w:cs="Times New Roman"/>
          <w:sz w:val="24"/>
          <w:szCs w:val="24"/>
        </w:rPr>
        <w:t>, 89(6), 845-851.</w:t>
      </w:r>
    </w:p>
    <w:p w14:paraId="05B20E87"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Steenis, N. D., Van Herpen, E., Van Der Lans, I. A., </w:t>
      </w:r>
      <w:proofErr w:type="spellStart"/>
      <w:r>
        <w:rPr>
          <w:rFonts w:ascii="Times New Roman" w:eastAsia="Times New Roman" w:hAnsi="Times New Roman" w:cs="Times New Roman"/>
          <w:sz w:val="24"/>
          <w:szCs w:val="24"/>
        </w:rPr>
        <w:t>Ligthart</w:t>
      </w:r>
      <w:proofErr w:type="spellEnd"/>
      <w:r>
        <w:rPr>
          <w:rFonts w:ascii="Times New Roman" w:eastAsia="Times New Roman" w:hAnsi="Times New Roman" w:cs="Times New Roman"/>
          <w:sz w:val="24"/>
          <w:szCs w:val="24"/>
        </w:rPr>
        <w:t xml:space="preserve">, T. N., &amp; Van </w:t>
      </w:r>
      <w:proofErr w:type="spellStart"/>
      <w:r>
        <w:rPr>
          <w:rFonts w:ascii="Times New Roman" w:eastAsia="Times New Roman" w:hAnsi="Times New Roman" w:cs="Times New Roman"/>
          <w:sz w:val="24"/>
          <w:szCs w:val="24"/>
        </w:rPr>
        <w:t>Trijp</w:t>
      </w:r>
      <w:proofErr w:type="spellEnd"/>
      <w:r>
        <w:rPr>
          <w:rFonts w:ascii="Times New Roman" w:eastAsia="Times New Roman" w:hAnsi="Times New Roman" w:cs="Times New Roman"/>
          <w:sz w:val="24"/>
          <w:szCs w:val="24"/>
        </w:rPr>
        <w:t xml:space="preserve">, H. C. (2017). Consumer response to packaging design: The role of packaging materials and graphics in sustainability perceptions and product evaluations. </w:t>
      </w:r>
      <w:r>
        <w:rPr>
          <w:rFonts w:ascii="Times New Roman" w:eastAsia="Times New Roman" w:hAnsi="Times New Roman" w:cs="Times New Roman"/>
          <w:i/>
          <w:iCs/>
          <w:sz w:val="24"/>
          <w:szCs w:val="24"/>
        </w:rPr>
        <w:t>Journal of Cleaner Production</w:t>
      </w:r>
      <w:r>
        <w:rPr>
          <w:rFonts w:ascii="Times New Roman" w:eastAsia="Times New Roman" w:hAnsi="Times New Roman" w:cs="Times New Roman"/>
          <w:sz w:val="24"/>
          <w:szCs w:val="24"/>
        </w:rPr>
        <w:t>, 162, 286-298.</w:t>
      </w:r>
    </w:p>
    <w:p w14:paraId="05B20E88"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Stillman, P. E., </w:t>
      </w:r>
      <w:proofErr w:type="spellStart"/>
      <w:r>
        <w:rPr>
          <w:rFonts w:ascii="Times New Roman" w:eastAsia="Times New Roman" w:hAnsi="Times New Roman" w:cs="Times New Roman"/>
          <w:sz w:val="24"/>
          <w:szCs w:val="24"/>
        </w:rPr>
        <w:t>Gavrieli</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Upritchard</w:t>
      </w:r>
      <w:proofErr w:type="spellEnd"/>
      <w:r>
        <w:rPr>
          <w:rFonts w:ascii="Times New Roman" w:eastAsia="Times New Roman" w:hAnsi="Times New Roman" w:cs="Times New Roman"/>
          <w:sz w:val="24"/>
          <w:szCs w:val="24"/>
        </w:rPr>
        <w:t xml:space="preserve">, J., Hanson, C., Ahmed, T., Kaplan, J., ... &amp; Bakker, M. (2023). Driving sustainable food choices: How to craft an effective sustainability labeling system. </w:t>
      </w:r>
      <w:r>
        <w:rPr>
          <w:rFonts w:ascii="Times New Roman" w:eastAsia="Times New Roman" w:hAnsi="Times New Roman" w:cs="Times New Roman"/>
          <w:i/>
          <w:iCs/>
          <w:sz w:val="24"/>
          <w:szCs w:val="24"/>
        </w:rPr>
        <w:t>Journal of the Association for Consumer Research</w:t>
      </w:r>
      <w:r>
        <w:rPr>
          <w:rFonts w:ascii="Times New Roman" w:eastAsia="Times New Roman" w:hAnsi="Times New Roman" w:cs="Times New Roman"/>
          <w:sz w:val="24"/>
          <w:szCs w:val="24"/>
        </w:rPr>
        <w:t>, 8(3), 301-313.</w:t>
      </w:r>
    </w:p>
    <w:p w14:paraId="05B20E89"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Utgård, J., &amp; Gaustad, T. (2024). Carbon emission reductions and offsets: Consumer perceptions of firm environmental sustainability. </w:t>
      </w:r>
      <w:r>
        <w:rPr>
          <w:rFonts w:ascii="Times New Roman" w:eastAsia="Times New Roman" w:hAnsi="Times New Roman" w:cs="Times New Roman"/>
          <w:i/>
          <w:iCs/>
          <w:sz w:val="24"/>
          <w:szCs w:val="24"/>
        </w:rPr>
        <w:t>Journal of Cleaner Production, 470</w:t>
      </w:r>
      <w:r>
        <w:rPr>
          <w:rFonts w:ascii="Times New Roman" w:eastAsia="Times New Roman" w:hAnsi="Times New Roman" w:cs="Times New Roman"/>
          <w:sz w:val="24"/>
          <w:szCs w:val="24"/>
        </w:rPr>
        <w:t>, 143300.</w:t>
      </w:r>
    </w:p>
    <w:p w14:paraId="05B20E8A"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 </w:t>
      </w:r>
      <w:proofErr w:type="spellStart"/>
      <w:r>
        <w:rPr>
          <w:rFonts w:ascii="Times New Roman" w:eastAsia="Times New Roman" w:hAnsi="Times New Roman" w:cs="Times New Roman"/>
          <w:sz w:val="24"/>
          <w:szCs w:val="24"/>
        </w:rPr>
        <w:t>Ooijen</w:t>
      </w:r>
      <w:proofErr w:type="spellEnd"/>
      <w:r>
        <w:rPr>
          <w:rFonts w:ascii="Times New Roman" w:eastAsia="Times New Roman" w:hAnsi="Times New Roman" w:cs="Times New Roman"/>
          <w:sz w:val="24"/>
          <w:szCs w:val="24"/>
        </w:rPr>
        <w:t xml:space="preserve">, I., Fransen, M. L., </w:t>
      </w:r>
      <w:proofErr w:type="spellStart"/>
      <w:r>
        <w:rPr>
          <w:rFonts w:ascii="Times New Roman" w:eastAsia="Times New Roman" w:hAnsi="Times New Roman" w:cs="Times New Roman"/>
          <w:sz w:val="24"/>
          <w:szCs w:val="24"/>
        </w:rPr>
        <w:t>Verlegh</w:t>
      </w:r>
      <w:proofErr w:type="spellEnd"/>
      <w:r>
        <w:rPr>
          <w:rFonts w:ascii="Times New Roman" w:eastAsia="Times New Roman" w:hAnsi="Times New Roman" w:cs="Times New Roman"/>
          <w:sz w:val="24"/>
          <w:szCs w:val="24"/>
        </w:rPr>
        <w:t xml:space="preserve">, P. W., &amp; Smit, E. G. (2017). Packaging design as an implicit communicator: Effects on product quality inferences in the presence of explicit quality cues. </w:t>
      </w:r>
      <w:r>
        <w:rPr>
          <w:rFonts w:ascii="Times New Roman" w:eastAsia="Times New Roman" w:hAnsi="Times New Roman" w:cs="Times New Roman"/>
          <w:i/>
          <w:iCs/>
          <w:sz w:val="24"/>
          <w:szCs w:val="24"/>
        </w:rPr>
        <w:t>Food Quality and Preference</w:t>
      </w:r>
      <w:r>
        <w:rPr>
          <w:rFonts w:ascii="Times New Roman" w:eastAsia="Times New Roman" w:hAnsi="Times New Roman" w:cs="Times New Roman"/>
          <w:sz w:val="24"/>
          <w:szCs w:val="24"/>
        </w:rPr>
        <w:t>, 62, 71-79.</w:t>
      </w:r>
    </w:p>
    <w:p w14:paraId="05B20E8B"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Velasco, C., Reinoso‐Carvalho, F., Barbosa Escobar, F., Gustafsson, A., &amp; Petit, O. (2024). Paradoxes, challenges, and opportunities in the context of ethical customer experience management. </w:t>
      </w:r>
      <w:r>
        <w:rPr>
          <w:rFonts w:ascii="Times New Roman" w:eastAsia="Times New Roman" w:hAnsi="Times New Roman" w:cs="Times New Roman"/>
          <w:i/>
          <w:iCs/>
          <w:sz w:val="24"/>
          <w:szCs w:val="24"/>
        </w:rPr>
        <w:t>Psychology &amp; Marketing</w:t>
      </w:r>
      <w:r>
        <w:rPr>
          <w:rFonts w:ascii="Times New Roman" w:eastAsia="Times New Roman" w:hAnsi="Times New Roman" w:cs="Times New Roman"/>
          <w:sz w:val="24"/>
          <w:szCs w:val="24"/>
        </w:rPr>
        <w:t>, 41(10), 2506-2524.</w:t>
      </w:r>
    </w:p>
    <w:p w14:paraId="05B20E8C" w14:textId="77777777" w:rsidR="00932051" w:rsidRDefault="00525931">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Verlegh</w:t>
      </w:r>
      <w:proofErr w:type="spellEnd"/>
      <w:r>
        <w:rPr>
          <w:rFonts w:ascii="Times New Roman" w:eastAsia="Times New Roman" w:hAnsi="Times New Roman" w:cs="Times New Roman"/>
          <w:sz w:val="24"/>
          <w:szCs w:val="24"/>
        </w:rPr>
        <w:t xml:space="preserve">, P. W., Ryu, G., Tuk, M. A., &amp; Feick, L. (2013). Receiver responses to rewarded referrals: the motive inferences framework. </w:t>
      </w:r>
      <w:r>
        <w:rPr>
          <w:rFonts w:ascii="Times New Roman" w:eastAsia="Times New Roman" w:hAnsi="Times New Roman" w:cs="Times New Roman"/>
          <w:i/>
          <w:iCs/>
          <w:sz w:val="24"/>
          <w:szCs w:val="24"/>
        </w:rPr>
        <w:t>Journal of the Academy of Marketing Science</w:t>
      </w:r>
      <w:r>
        <w:rPr>
          <w:rFonts w:ascii="Times New Roman" w:eastAsia="Times New Roman" w:hAnsi="Times New Roman" w:cs="Times New Roman"/>
          <w:sz w:val="24"/>
          <w:szCs w:val="24"/>
        </w:rPr>
        <w:t>, 41, 669-682.</w:t>
      </w:r>
    </w:p>
    <w:p w14:paraId="05B20E8D" w14:textId="77777777" w:rsidR="00932051" w:rsidRDefault="00525931">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Verplanken</w:t>
      </w:r>
      <w:proofErr w:type="spellEnd"/>
      <w:r>
        <w:rPr>
          <w:rFonts w:ascii="Times New Roman" w:eastAsia="Times New Roman" w:hAnsi="Times New Roman" w:cs="Times New Roman"/>
          <w:sz w:val="24"/>
          <w:szCs w:val="24"/>
        </w:rPr>
        <w:t xml:space="preserve">, B., &amp; Roy, D. (2016). Empowering interventions to promote sustainable lifestyles: Testing the habit discontinuity hypothesis in a field experiment. </w:t>
      </w:r>
      <w:r>
        <w:rPr>
          <w:rFonts w:ascii="Times New Roman" w:eastAsia="Times New Roman" w:hAnsi="Times New Roman" w:cs="Times New Roman"/>
          <w:i/>
          <w:iCs/>
          <w:sz w:val="24"/>
          <w:szCs w:val="24"/>
        </w:rPr>
        <w:t>Journal of Environmental Psychology</w:t>
      </w:r>
      <w:r>
        <w:rPr>
          <w:rFonts w:ascii="Times New Roman" w:eastAsia="Times New Roman" w:hAnsi="Times New Roman" w:cs="Times New Roman"/>
          <w:sz w:val="24"/>
          <w:szCs w:val="24"/>
        </w:rPr>
        <w:t xml:space="preserve">, 45, 127-134. </w:t>
      </w:r>
    </w:p>
    <w:p w14:paraId="05B20E8E"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Waites, S. F., Farmer, A., &amp; Collier, J. (2024). Good people good planet: Investigating the interconnection between social and environmental sustainability. </w:t>
      </w:r>
      <w:r>
        <w:rPr>
          <w:rFonts w:ascii="Times New Roman" w:eastAsia="Times New Roman" w:hAnsi="Times New Roman" w:cs="Times New Roman"/>
          <w:i/>
          <w:iCs/>
          <w:sz w:val="24"/>
          <w:szCs w:val="24"/>
        </w:rPr>
        <w:t>Journal of Business Research</w:t>
      </w:r>
      <w:r>
        <w:rPr>
          <w:rFonts w:ascii="Times New Roman" w:eastAsia="Times New Roman" w:hAnsi="Times New Roman" w:cs="Times New Roman"/>
          <w:sz w:val="24"/>
          <w:szCs w:val="24"/>
        </w:rPr>
        <w:t>, 184, 114897.</w:t>
      </w:r>
    </w:p>
    <w:p w14:paraId="05B20E8F"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Wallach, K. A., &amp; Popovich, D. (2023). Cause beneficial or cause exploitative? Using joint motives to increase credibility of sustainability efforts. </w:t>
      </w:r>
      <w:r>
        <w:rPr>
          <w:rFonts w:ascii="Times New Roman" w:eastAsia="Times New Roman" w:hAnsi="Times New Roman" w:cs="Times New Roman"/>
          <w:i/>
          <w:iCs/>
          <w:sz w:val="24"/>
          <w:szCs w:val="24"/>
        </w:rPr>
        <w:t>Journal of Public Policy &amp; Marketing</w:t>
      </w:r>
      <w:r>
        <w:rPr>
          <w:rFonts w:ascii="Times New Roman" w:eastAsia="Times New Roman" w:hAnsi="Times New Roman" w:cs="Times New Roman"/>
          <w:sz w:val="24"/>
          <w:szCs w:val="24"/>
        </w:rPr>
        <w:t>, 42(2), 187-202.</w:t>
      </w:r>
    </w:p>
    <w:p w14:paraId="05B20E90"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White, K., Habib, R., &amp; Hardisty, D. J. (2019). How to SHIFT consumer behaviors to be more sustainable: A literature review and guiding framework. </w:t>
      </w:r>
      <w:r>
        <w:rPr>
          <w:rFonts w:ascii="Times New Roman" w:eastAsia="Times New Roman" w:hAnsi="Times New Roman" w:cs="Times New Roman"/>
          <w:i/>
          <w:iCs/>
          <w:sz w:val="24"/>
          <w:szCs w:val="24"/>
        </w:rPr>
        <w:t>Journal of Marketing</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83</w:t>
      </w:r>
      <w:r>
        <w:rPr>
          <w:rFonts w:ascii="Times New Roman" w:eastAsia="Times New Roman" w:hAnsi="Times New Roman" w:cs="Times New Roman"/>
          <w:sz w:val="24"/>
          <w:szCs w:val="24"/>
        </w:rPr>
        <w:t>(3), 22-49.</w:t>
      </w:r>
    </w:p>
    <w:p w14:paraId="05B20E91"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Winter, B., Fischer, M. H., Scheepers, C., &amp; </w:t>
      </w:r>
      <w:proofErr w:type="spellStart"/>
      <w:r>
        <w:rPr>
          <w:rFonts w:ascii="Times New Roman" w:eastAsia="Times New Roman" w:hAnsi="Times New Roman" w:cs="Times New Roman"/>
          <w:sz w:val="24"/>
          <w:szCs w:val="24"/>
        </w:rPr>
        <w:t>Myachykov</w:t>
      </w:r>
      <w:proofErr w:type="spellEnd"/>
      <w:r>
        <w:rPr>
          <w:rFonts w:ascii="Times New Roman" w:eastAsia="Times New Roman" w:hAnsi="Times New Roman" w:cs="Times New Roman"/>
          <w:sz w:val="24"/>
          <w:szCs w:val="24"/>
        </w:rPr>
        <w:t>, A. (2023). More is better: English language statistics are biased toward addition. </w:t>
      </w:r>
      <w:r>
        <w:rPr>
          <w:rFonts w:ascii="Times New Roman" w:eastAsia="Times New Roman" w:hAnsi="Times New Roman" w:cs="Times New Roman"/>
          <w:i/>
          <w:iCs/>
          <w:sz w:val="24"/>
          <w:szCs w:val="24"/>
        </w:rPr>
        <w:t>Cognitive Science</w:t>
      </w:r>
      <w:r>
        <w:rPr>
          <w:rFonts w:ascii="Times New Roman" w:eastAsia="Times New Roman" w:hAnsi="Times New Roman" w:cs="Times New Roman"/>
          <w:sz w:val="24"/>
          <w:szCs w:val="24"/>
        </w:rPr>
        <w:t>, </w:t>
      </w:r>
      <w:r>
        <w:rPr>
          <w:rFonts w:ascii="Times New Roman" w:eastAsia="Times New Roman" w:hAnsi="Times New Roman" w:cs="Times New Roman"/>
          <w:i/>
          <w:iCs/>
          <w:sz w:val="24"/>
          <w:szCs w:val="24"/>
        </w:rPr>
        <w:t>47</w:t>
      </w:r>
      <w:r>
        <w:rPr>
          <w:rFonts w:ascii="Times New Roman" w:eastAsia="Times New Roman" w:hAnsi="Times New Roman" w:cs="Times New Roman"/>
          <w:sz w:val="24"/>
          <w:szCs w:val="24"/>
        </w:rPr>
        <w:t>(4), e13254.</w:t>
      </w:r>
    </w:p>
    <w:p w14:paraId="05B20E92" w14:textId="77777777" w:rsidR="00932051" w:rsidRDefault="0052593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Winterich, K. P., Reczek, R. W., &amp; Makov, T. (2024). How lack of knowledge on emissions and psychological biases deter consumers from taking effective action to mitigate climate change. </w:t>
      </w:r>
      <w:r>
        <w:rPr>
          <w:rFonts w:ascii="Times New Roman" w:eastAsia="Times New Roman" w:hAnsi="Times New Roman" w:cs="Times New Roman"/>
          <w:i/>
          <w:iCs/>
          <w:sz w:val="24"/>
          <w:szCs w:val="24"/>
        </w:rPr>
        <w:t>Journal of the Academy of Marketing Science</w:t>
      </w:r>
      <w:r>
        <w:rPr>
          <w:rFonts w:ascii="Times New Roman" w:eastAsia="Times New Roman" w:hAnsi="Times New Roman" w:cs="Times New Roman"/>
          <w:sz w:val="24"/>
          <w:szCs w:val="24"/>
        </w:rPr>
        <w:t xml:space="preserve">, 52(5), 1475-1494. </w:t>
      </w:r>
    </w:p>
    <w:sectPr w:rsidR="00932051">
      <w:footerReference w:type="default" r:id="rId26"/>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2DF774" w14:textId="77777777" w:rsidR="00897F85" w:rsidRDefault="00897F85">
      <w:pPr>
        <w:spacing w:after="0" w:line="240" w:lineRule="auto"/>
      </w:pPr>
      <w:r>
        <w:separator/>
      </w:r>
    </w:p>
  </w:endnote>
  <w:endnote w:type="continuationSeparator" w:id="0">
    <w:p w14:paraId="23C1ADA7" w14:textId="77777777" w:rsidR="00897F85" w:rsidRDefault="00897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F49B606-1E51-CE43-806D-2896881DCD13}"/>
    <w:embedBold r:id="rId2" w:fontKey="{19C09641-DBE7-8A4F-9454-8B184546726E}"/>
    <w:embedItalic r:id="rId3" w:fontKey="{0F217039-F7F6-E541-8BB0-B8296750DDF4}"/>
  </w:font>
  <w:font w:name="Times New Roman">
    <w:panose1 w:val="02020603050405020304"/>
    <w:charset w:val="00"/>
    <w:family w:val="roman"/>
    <w:pitch w:val="variable"/>
    <w:sig w:usb0="E0002EFF" w:usb1="C000785B" w:usb2="00000009" w:usb3="00000000" w:csb0="000001FF" w:csb1="00000000"/>
    <w:embedRegular r:id="rId4" w:fontKey="{6DBACCFE-A824-014D-8F68-B5B542D075BD}"/>
    <w:embedBold r:id="rId5" w:fontKey="{699E11DC-24EA-AE43-B0A3-0A999737DB86}"/>
    <w:embedItalic r:id="rId6" w:fontKey="{4227DB11-E439-C242-A6DE-587847B47EA7}"/>
    <w:embedBoldItalic r:id="rId7" w:fontKey="{C87F6324-185F-DD44-B5F8-465606A59DF2}"/>
  </w:font>
  <w:font w:name="Noto Sans Symbols">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embedRegular r:id="rId10" w:fontKey="{B8E5BD11-EF3B-5840-BE8B-F4ACADDB31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B20E9B" w14:textId="78DB73DB" w:rsidR="00932051" w:rsidRDefault="00525931">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751B3">
      <w:rPr>
        <w:noProof/>
        <w:color w:val="000000"/>
      </w:rPr>
      <w:t>1</w:t>
    </w:r>
    <w:r>
      <w:rPr>
        <w:color w:val="000000"/>
      </w:rPr>
      <w:fldChar w:fldCharType="end"/>
    </w:r>
  </w:p>
  <w:p w14:paraId="05B20E9C" w14:textId="77777777" w:rsidR="00932051" w:rsidRDefault="00932051">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8760E5" w14:textId="77777777" w:rsidR="00897F85" w:rsidRDefault="00897F85">
      <w:pPr>
        <w:spacing w:after="0" w:line="240" w:lineRule="auto"/>
      </w:pPr>
      <w:r>
        <w:separator/>
      </w:r>
    </w:p>
  </w:footnote>
  <w:footnote w:type="continuationSeparator" w:id="0">
    <w:p w14:paraId="45FE9E26" w14:textId="77777777" w:rsidR="00897F85" w:rsidRDefault="00897F85">
      <w:pPr>
        <w:spacing w:after="0" w:line="240" w:lineRule="auto"/>
      </w:pPr>
      <w:r>
        <w:continuationSeparator/>
      </w:r>
    </w:p>
  </w:footnote>
  <w:footnote w:id="1">
    <w:p w14:paraId="05B20E9D" w14:textId="77777777" w:rsidR="00932051" w:rsidRDefault="0052593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18"/>
          <w:szCs w:val="18"/>
        </w:rPr>
        <w:t>We also measured participant’s willingness to recommend the hotel. Results are reported in Appendix B.</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051"/>
    <w:rsid w:val="000460EB"/>
    <w:rsid w:val="00056E57"/>
    <w:rsid w:val="000655D3"/>
    <w:rsid w:val="000D1B4E"/>
    <w:rsid w:val="001358E6"/>
    <w:rsid w:val="001D7F60"/>
    <w:rsid w:val="002D56FC"/>
    <w:rsid w:val="004D26BE"/>
    <w:rsid w:val="00523AEF"/>
    <w:rsid w:val="00525931"/>
    <w:rsid w:val="00541AE7"/>
    <w:rsid w:val="0054497D"/>
    <w:rsid w:val="005743F7"/>
    <w:rsid w:val="005C51DF"/>
    <w:rsid w:val="00623CAF"/>
    <w:rsid w:val="008019F7"/>
    <w:rsid w:val="008261CF"/>
    <w:rsid w:val="00852B8C"/>
    <w:rsid w:val="0087724A"/>
    <w:rsid w:val="00897F85"/>
    <w:rsid w:val="0090711E"/>
    <w:rsid w:val="00914DC7"/>
    <w:rsid w:val="00932051"/>
    <w:rsid w:val="00991C31"/>
    <w:rsid w:val="009C2FFC"/>
    <w:rsid w:val="00A22879"/>
    <w:rsid w:val="00A64029"/>
    <w:rsid w:val="00B17B91"/>
    <w:rsid w:val="00B943B5"/>
    <w:rsid w:val="00B94754"/>
    <w:rsid w:val="00BB18A8"/>
    <w:rsid w:val="00D05687"/>
    <w:rsid w:val="00D3792A"/>
    <w:rsid w:val="00DE7DEA"/>
    <w:rsid w:val="00E751B3"/>
    <w:rsid w:val="00E76140"/>
    <w:rsid w:val="00F04BCD"/>
    <w:rsid w:val="00F1304B"/>
    <w:rsid w:val="00F54C15"/>
    <w:rsid w:val="00F96B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20C6C"/>
  <w15:docId w15:val="{C2037C5C-8676-47E3-BB1B-F9273BD8A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Revision">
    <w:name w:val="Revision"/>
    <w:hidden/>
    <w:uiPriority w:val="99"/>
    <w:semiHidden/>
    <w:rsid w:val="00056E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spredicted.org/xv4b-8jsr.pdf" TargetMode="External"/><Relationship Id="rId13" Type="http://schemas.openxmlformats.org/officeDocument/2006/relationships/hyperlink" Target="https://aspredicted.org/9cc2cx.pdf"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www.iea.org/reports/global-energy-review-2025/co2-emissions?utm_source=chatgpt.com" TargetMode="External"/><Relationship Id="rId7" Type="http://schemas.openxmlformats.org/officeDocument/2006/relationships/hyperlink" Target="https://aspredicted.org/tny8-r2bp.pdf" TargetMode="External"/><Relationship Id="rId12" Type="http://schemas.openxmlformats.org/officeDocument/2006/relationships/image" Target="media/image2.png"/><Relationship Id="rId17" Type="http://schemas.openxmlformats.org/officeDocument/2006/relationships/hyperlink" Target="https://aspredicted.org/wh62en.pdf" TargetMode="External"/><Relationship Id="rId25" Type="http://schemas.openxmlformats.org/officeDocument/2006/relationships/hyperlink" Target="https://www.researchandmarkets.com/reports/5028075/reusable-water-bottles-global-strategic" TargetMode="External"/><Relationship Id="rId2" Type="http://schemas.openxmlformats.org/officeDocument/2006/relationships/settings" Target="settings.xml"/><Relationship Id="rId16" Type="http://schemas.openxmlformats.org/officeDocument/2006/relationships/hyperlink" Target="https://aspredicted.org/yy63e9.pdf" TargetMode="External"/><Relationship Id="rId20" Type="http://schemas.openxmlformats.org/officeDocument/2006/relationships/hyperlink" Target="https://overshoot.footprintnetwork.org/?utm_source=chatgpt.com"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aspredicted.org/bc2rt6.pdf" TargetMode="External"/><Relationship Id="rId24" Type="http://schemas.openxmlformats.org/officeDocument/2006/relationships/hyperlink" Target="https://www.nytimes.com/2021/08/24/style/cotton-totes-climate-crisis.html" TargetMode="External"/><Relationship Id="rId5"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yperlink" Target="https://doi.org/10.1037/0000262-023" TargetMode="External"/><Relationship Id="rId28" Type="http://schemas.openxmlformats.org/officeDocument/2006/relationships/theme" Target="theme/theme1.xml"/><Relationship Id="rId10" Type="http://schemas.openxmlformats.org/officeDocument/2006/relationships/hyperlink" Target="https://aspredicted.org/qm7iw8.pdf" TargetMode="External"/><Relationship Id="rId19" Type="http://schemas.openxmlformats.org/officeDocument/2006/relationships/hyperlink" Target="https://environment.ec.europa.eu/topics/circular-economy/eu-ecolabel_en" TargetMode="External"/><Relationship Id="rId4" Type="http://schemas.openxmlformats.org/officeDocument/2006/relationships/footnotes" Target="footnotes.xml"/><Relationship Id="rId9" Type="http://schemas.openxmlformats.org/officeDocument/2006/relationships/hyperlink" Target="https://aspredicted.org/nwd6-rm4q.pdf" TargetMode="External"/><Relationship Id="rId14" Type="http://schemas.openxmlformats.org/officeDocument/2006/relationships/hyperlink" Target="https://aspredicted.org/j49p-fg2h.pdf" TargetMode="External"/><Relationship Id="rId22" Type="http://schemas.openxmlformats.org/officeDocument/2006/relationships/hyperlink" Target="https://doi.org/10.1098/rspb.2010.1581s"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56</Pages>
  <Words>16908</Words>
  <Characters>96381</Characters>
  <Application>Microsoft Office Word</Application>
  <DocSecurity>0</DocSecurity>
  <Lines>803</Lines>
  <Paragraphs>226</Paragraphs>
  <ScaleCrop>false</ScaleCrop>
  <Company>University of Bath</Company>
  <LinksUpToDate>false</LinksUpToDate>
  <CharactersWithSpaces>113063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GIAMPAOLO VIGLIA</cp:lastModifiedBy>
  <cp:revision>3</cp:revision>
  <dcterms:created xsi:type="dcterms:W3CDTF">2026-08-20T15:25:00Z</dcterms:created>
  <dcterms:modified xsi:type="dcterms:W3CDTF">2026-08-20T15:27:00Z</dcterms:modified>
</cp:coreProperties>
</file>